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7F0F4">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sz w:val="24"/>
          <w:highlight w:val="none"/>
          <w:lang w:val="en-US"/>
        </w:rPr>
      </w:pP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24130</wp:posOffset>
                </wp:positionV>
                <wp:extent cx="2473960" cy="434340"/>
                <wp:effectExtent l="0" t="0" r="2540" b="3810"/>
                <wp:wrapNone/>
                <wp:docPr id="3" name="矩形 1"/>
                <wp:cNvGraphicFramePr/>
                <a:graphic xmlns:a="http://schemas.openxmlformats.org/drawingml/2006/main">
                  <a:graphicData uri="http://schemas.microsoft.com/office/word/2010/wordprocessingShape">
                    <wps:wsp>
                      <wps:cNvSpPr/>
                      <wps:spPr>
                        <a:xfrm>
                          <a:off x="0" y="0"/>
                          <a:ext cx="2473960" cy="434340"/>
                        </a:xfrm>
                        <a:prstGeom prst="rect">
                          <a:avLst/>
                        </a:prstGeom>
                        <a:solidFill>
                          <a:srgbClr val="FFFFFF"/>
                        </a:solidFill>
                        <a:ln>
                          <a:noFill/>
                        </a:ln>
                      </wps:spPr>
                      <wps:txbx>
                        <w:txbxContent>
                          <w:p w14:paraId="15629FC4">
                            <w:pPr>
                              <w:rPr>
                                <w:rFonts w:hint="eastAsia" w:ascii="黑体" w:hAnsi="黑体" w:eastAsia="黑体" w:cs="黑体"/>
                                <w:sz w:val="32"/>
                                <w:szCs w:val="32"/>
                                <w:lang w:eastAsia="zh-CN"/>
                              </w:rPr>
                            </w:pPr>
                            <w:r>
                              <w:rPr>
                                <w:rFonts w:hint="eastAsia" w:ascii="黑体" w:hAnsi="黑体" w:eastAsia="黑体" w:cs="黑体"/>
                                <w:sz w:val="32"/>
                                <w:szCs w:val="32"/>
                                <w:lang w:eastAsia="zh-CN"/>
                              </w:rPr>
                              <w:t>内部资料</w:t>
                            </w:r>
                          </w:p>
                        </w:txbxContent>
                      </wps:txbx>
                      <wps:bodyPr lIns="36195" tIns="36195" rIns="36195" bIns="36195" upright="1"/>
                    </wps:wsp>
                  </a:graphicData>
                </a:graphic>
              </wp:anchor>
            </w:drawing>
          </mc:Choice>
          <mc:Fallback>
            <w:pict>
              <v:rect id="矩形 1" o:spid="_x0000_s1026" o:spt="1" style="position:absolute;left:0pt;margin-left:1.25pt;margin-top:1.9pt;height:34.2pt;width:194.8pt;z-index:251661312;mso-width-relative:page;mso-height-relative:page;" fillcolor="#FFFFFF" filled="t" stroked="f" coordsize="21600,21600" o:gfxdata="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5yjmLUAAAABgEAAA8AAAAAAAAAAQAgAAAAIgAAAGRycy9kb3du&#10;cmV2LnhtbFBLAQIUABQAAAAIAIdO4kDreCN5ygEAAJ4DAAAOAAAAAAAAAAEAIAAAACMBAABkcnMv&#10;ZTJvRG9jLnhtbFBLBQYAAAAABgAGAFkBAABfBQAAAAA=&#10;">
                <v:fill on="t" focussize="0,0"/>
                <v:stroke on="f"/>
                <v:imagedata o:title=""/>
                <o:lock v:ext="edit" aspectratio="f"/>
                <v:textbox inset="2.85pt,2.85pt,2.85pt,2.85pt">
                  <w:txbxContent>
                    <w:p w14:paraId="15629FC4">
                      <w:pPr>
                        <w:rPr>
                          <w:rFonts w:hint="eastAsia" w:ascii="黑体" w:hAnsi="黑体" w:eastAsia="黑体" w:cs="黑体"/>
                          <w:sz w:val="32"/>
                          <w:szCs w:val="32"/>
                          <w:lang w:eastAsia="zh-CN"/>
                        </w:rPr>
                      </w:pPr>
                      <w:r>
                        <w:rPr>
                          <w:rFonts w:hint="eastAsia" w:ascii="黑体" w:hAnsi="黑体" w:eastAsia="黑体" w:cs="黑体"/>
                          <w:sz w:val="32"/>
                          <w:szCs w:val="32"/>
                          <w:lang w:eastAsia="zh-CN"/>
                        </w:rPr>
                        <w:t>内部资料</w:t>
                      </w:r>
                    </w:p>
                  </w:txbxContent>
                </v:textbox>
              </v:rect>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996315</wp:posOffset>
                </wp:positionH>
                <wp:positionV relativeFrom="paragraph">
                  <wp:posOffset>12065</wp:posOffset>
                </wp:positionV>
                <wp:extent cx="505206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052060" cy="635"/>
                        </a:xfrm>
                        <a:prstGeom prst="line">
                          <a:avLst/>
                        </a:prstGeom>
                        <a:ln w="3175" cap="flat" cmpd="sng">
                          <a:solidFill>
                            <a:srgbClr val="FFFFFF">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45pt;margin-top:0.95pt;height:0.05pt;width:397.8pt;z-index:251664384;mso-width-relative:page;mso-height-relative:page;" filled="f" stroked="t" coordsize="21600,21600" o:gfxdata="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UF/NYAAAAHAQAADwAAAAAAAAABACAAAAAiAAAAZHJzL2Rv&#10;d25yZXYueG1sUEsBAhQAFAAAAAgAh07iQCqKmcwDAgAACAQAAA4AAAAAAAAAAQAgAAAAJQEAAGRy&#10;cy9lMm9Eb2MueG1sUEsFBgAAAAAGAAYAWQEAAJoFAAAAAA==&#10;">
                <v:fill on="f" focussize="0,0"/>
                <v:stroke weight="0.25pt" color="#FFFFFF" joinstyle="round"/>
                <v:imagedata o:title=""/>
                <o:lock v:ext="edit" aspectratio="f"/>
              </v:line>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-809625</wp:posOffset>
                </wp:positionH>
                <wp:positionV relativeFrom="paragraph">
                  <wp:posOffset>1793240</wp:posOffset>
                </wp:positionV>
                <wp:extent cx="6858000" cy="635"/>
                <wp:effectExtent l="0" t="0" r="0" b="0"/>
                <wp:wrapNone/>
                <wp:docPr id="6" name="直接连接符 8"/>
                <wp:cNvGraphicFramePr/>
                <a:graphic xmlns:a="http://schemas.openxmlformats.org/drawingml/2006/main">
                  <a:graphicData uri="http://schemas.microsoft.com/office/word/2010/wordprocessingShape">
                    <wps:wsp>
                      <wps:cNvCnPr/>
                      <wps:spPr>
                        <a:xfrm>
                          <a:off x="0" y="0"/>
                          <a:ext cx="6858000" cy="635"/>
                        </a:xfrm>
                        <a:prstGeom prst="line">
                          <a:avLst/>
                        </a:prstGeom>
                        <a:ln w="3175" cap="flat" cmpd="sng">
                          <a:solidFill>
                            <a:srgbClr val="FFFFFF">
                              <a:alpha val="100000"/>
                            </a:srgbClr>
                          </a:solidFill>
                          <a:prstDash val="solid"/>
                          <a:headEnd type="none" w="med" len="med"/>
                          <a:tailEnd type="none" w="med" len="med"/>
                        </a:ln>
                      </wps:spPr>
                      <wps:bodyPr upright="1"/>
                    </wps:wsp>
                  </a:graphicData>
                </a:graphic>
              </wp:anchor>
            </w:drawing>
          </mc:Choice>
          <mc:Fallback>
            <w:pict>
              <v:line id="直接连接符 8" o:spid="_x0000_s1026" o:spt="20" style="position:absolute;left:0pt;margin-left:-63.75pt;margin-top:141.2pt;height:0.05pt;width:540pt;z-index:251663360;mso-width-relative:page;mso-height-relative:page;" filled="f" stroked="t" coordsize="21600,21600" o:gfxdata="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GWiUdoAAAAMAQAADwAAAAAAAAABACAAAAAiAAAA&#10;ZHJzL2Rvd25yZXYueG1sUEsBAhQAFAAAAAgAh07iQIJf7EoFAgAACAQAAA4AAAAAAAAAAQAgAAAA&#10;KQEAAGRycy9lMm9Eb2MueG1sUEsFBgAAAAAGAAYAWQEAAKAFAAAAAA==&#10;">
                <v:fill on="f" focussize="0,0"/>
                <v:stroke weight="0.25pt" color="#FFFFFF" joinstyle="round"/>
                <v:imagedata o:title=""/>
                <o:lock v:ext="edit" aspectratio="f"/>
              </v:line>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996315</wp:posOffset>
                </wp:positionH>
                <wp:positionV relativeFrom="paragraph">
                  <wp:posOffset>33020</wp:posOffset>
                </wp:positionV>
                <wp:extent cx="2480310" cy="245745"/>
                <wp:effectExtent l="0" t="0" r="15240" b="1905"/>
                <wp:wrapNone/>
                <wp:docPr id="4" name="矩形 3"/>
                <wp:cNvGraphicFramePr/>
                <a:graphic xmlns:a="http://schemas.openxmlformats.org/drawingml/2006/main">
                  <a:graphicData uri="http://schemas.microsoft.com/office/word/2010/wordprocessingShape">
                    <wps:wsp>
                      <wps:cNvSpPr/>
                      <wps:spPr>
                        <a:xfrm>
                          <a:off x="0" y="0"/>
                          <a:ext cx="2480310" cy="245745"/>
                        </a:xfrm>
                        <a:prstGeom prst="rect">
                          <a:avLst/>
                        </a:prstGeom>
                        <a:solidFill>
                          <a:srgbClr val="FFFFFF"/>
                        </a:solidFill>
                        <a:ln>
                          <a:noFill/>
                        </a:ln>
                      </wps:spPr>
                      <wps:txbx>
                        <w:txbxContent>
                          <w:p w14:paraId="13E6DDBD"/>
                        </w:txbxContent>
                      </wps:txbx>
                      <wps:bodyPr lIns="36195" tIns="36195" rIns="36195" bIns="36195" upright="1"/>
                    </wps:wsp>
                  </a:graphicData>
                </a:graphic>
              </wp:anchor>
            </w:drawing>
          </mc:Choice>
          <mc:Fallback>
            <w:pict>
              <v:rect id="矩形 3" o:spid="_x0000_s1026" o:spt="1" style="position:absolute;left:0pt;margin-left:78.45pt;margin-top:2.6pt;height:19.35pt;width:195.3pt;z-index:251662336;mso-width-relative:page;mso-height-relative:page;" fillcolor="#FFFFFF" filled="t" stroked="f" coordsize="21600,21600" o:gfxdata="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8U32HVAAAACAEAAA8AAAAAAAAAAQAgAAAAIgAAAGRycy9kb3du&#10;cmV2LnhtbFBLAQIUABQAAAAIAIdO4kB7VuotyQEAAJ4DAAAOAAAAAAAAAAEAIAAAACQBAABkcnMv&#10;ZTJvRG9jLnhtbFBLBQYAAAAABgAGAFkBAABfBQAAAAA=&#10;">
                <v:fill on="t" focussize="0,0"/>
                <v:stroke on="f"/>
                <v:imagedata o:title=""/>
                <o:lock v:ext="edit" aspectratio="f"/>
                <v:textbox inset="2.85pt,2.85pt,2.85pt,2.85pt">
                  <w:txbxContent>
                    <w:p w14:paraId="13E6DDBD"/>
                  </w:txbxContent>
                </v:textbox>
              </v:rect>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59264" behindDoc="0" locked="0" layoutInCell="1" hidden="1" allowOverlap="1">
                <wp:simplePos x="0" y="0"/>
                <wp:positionH relativeFrom="column">
                  <wp:posOffset>-809625</wp:posOffset>
                </wp:positionH>
                <wp:positionV relativeFrom="paragraph">
                  <wp:posOffset>12065</wp:posOffset>
                </wp:positionV>
                <wp:extent cx="6858000" cy="2178685"/>
                <wp:effectExtent l="0" t="0" r="0" b="0"/>
                <wp:wrapNone/>
                <wp:docPr id="1" name="矩形 4" hidden="1"/>
                <wp:cNvGraphicFramePr/>
                <a:graphic xmlns:a="http://schemas.openxmlformats.org/drawingml/2006/main">
                  <a:graphicData uri="http://schemas.microsoft.com/office/word/2010/wordprocessingShape">
                    <wps:wsp>
                      <wps:cNvSpPr/>
                      <wps:spPr>
                        <a:xfrm>
                          <a:off x="0" y="0"/>
                          <a:ext cx="6858000" cy="2178685"/>
                        </a:xfrm>
                        <a:prstGeom prst="rect">
                          <a:avLst/>
                        </a:prstGeom>
                        <a:solidFill>
                          <a:srgbClr val="FFFFFF"/>
                        </a:solidFill>
                        <a:ln>
                          <a:noFill/>
                        </a:ln>
                      </wps:spPr>
                      <wps:bodyPr lIns="36576" tIns="36576" rIns="36576" bIns="36576" upright="1"/>
                    </wps:wsp>
                  </a:graphicData>
                </a:graphic>
              </wp:anchor>
            </w:drawing>
          </mc:Choice>
          <mc:Fallback>
            <w:pict>
              <v:rect id="矩形 4" o:spid="_x0000_s1026" o:spt="1" style="position:absolute;left:0pt;margin-left:-63.75pt;margin-top:0.95pt;height:171.55pt;width:540pt;visibility:hidden;z-index:251659264;mso-width-relative:page;mso-height-relative:page;" fillcolor="#FFFFFF" filled="t" stroked="f" coordsize="21600,21600" o:gfxdata="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ORojzbAAAACgEAAA8AAAAAAAAAAQAgAAAAIgAAAGRy&#10;cy9kb3ducmV2LnhtbFBLAQIUABQAAAAIAIdO4kANt+ZvyQEAAJ8DAAAOAAAAAAAAAAEAIAAAACoB&#10;AABkcnMvZTJvRG9jLnhtbFBLBQYAAAAABgAGAFkBAABlBQAAAAA=&#10;">
                <v:fill on="t" focussize="0,0"/>
                <v:stroke on="f"/>
                <v:imagedata o:title=""/>
                <o:lock v:ext="edit" aspectratio="f"/>
                <v:textbox inset="1.016mm,1.016mm,1.016mm,1.016mm"/>
              </v:rect>
            </w:pict>
          </mc:Fallback>
        </mc:AlternateContent>
      </w:r>
      <w:r>
        <w:rPr>
          <w:rFonts w:hint="eastAsia" w:cs="Times New Roman"/>
          <w:color w:val="auto"/>
          <w:sz w:val="24"/>
          <w:highlight w:val="none"/>
          <w:lang w:val="en-US" w:eastAsia="zh-CN"/>
        </w:rPr>
        <w:t xml:space="preserve">                                                                                                                                                                                                                                                                                                                                                                                                                                                                                                                                                                                                                                                                                                                                                                                                                                                                                                                                                                                                                                                                                                                                                                                                                                                                                                                                                                                                                                                                                                                       </w:t>
      </w:r>
    </w:p>
    <w:p w14:paraId="41C14B2C">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kern w:val="28"/>
          <w:sz w:val="21"/>
          <w:szCs w:val="21"/>
          <w:highlight w:val="none"/>
          <w:lang w:val="en-US" w:eastAsia="zh-CN" w:bidi="ar-SA"/>
        </w:rPr>
      </w:pP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137795</wp:posOffset>
                </wp:positionV>
                <wp:extent cx="6019800" cy="1075055"/>
                <wp:effectExtent l="0" t="0" r="0" b="10795"/>
                <wp:wrapNone/>
                <wp:docPr id="2" name="矩形 6"/>
                <wp:cNvGraphicFramePr/>
                <a:graphic xmlns:a="http://schemas.openxmlformats.org/drawingml/2006/main">
                  <a:graphicData uri="http://schemas.microsoft.com/office/word/2010/wordprocessingShape">
                    <wps:wsp>
                      <wps:cNvSpPr/>
                      <wps:spPr>
                        <a:xfrm>
                          <a:off x="0" y="0"/>
                          <a:ext cx="6019800" cy="1075055"/>
                        </a:xfrm>
                        <a:prstGeom prst="rect">
                          <a:avLst/>
                        </a:prstGeom>
                        <a:solidFill>
                          <a:srgbClr val="FFFFFF"/>
                        </a:solidFill>
                        <a:ln>
                          <a:noFill/>
                        </a:ln>
                      </wps:spPr>
                      <wps:txbx>
                        <w:txbxContent>
                          <w:p w14:paraId="0668E5C1">
                            <w:pPr>
                              <w:widowControl w:val="0"/>
                              <w:jc w:val="center"/>
                              <w:rPr>
                                <w:rFonts w:ascii="方正小标宋简体" w:eastAsia="方正小标宋简体"/>
                                <w:color w:val="FF0000"/>
                                <w:spacing w:val="20"/>
                                <w:w w:val="65"/>
                                <w:sz w:val="100"/>
                                <w:szCs w:val="100"/>
                              </w:rPr>
                            </w:pP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查</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办</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简</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报</w:t>
                            </w:r>
                          </w:p>
                        </w:txbxContent>
                      </wps:txbx>
                      <wps:bodyPr lIns="36195" tIns="0" rIns="36195" bIns="36195" upright="1"/>
                    </wps:wsp>
                  </a:graphicData>
                </a:graphic>
              </wp:anchor>
            </w:drawing>
          </mc:Choice>
          <mc:Fallback>
            <w:pict>
              <v:rect id="矩形 6" o:spid="_x0000_s1026" o:spt="1" style="position:absolute;left:0pt;margin-left:-13.95pt;margin-top:10.85pt;height:84.65pt;width:474pt;z-index:251660288;mso-width-relative:page;mso-height-relative:page;" fillcolor="#FFFFFF" filled="t" stroked="f" coordsize="21600,21600" o:gfxdata="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CsJ71wAAAAoBAAAPAAAAAAAAAAEAIAAAACIAAABkcnMv&#10;ZG93bnJldi54bWxQSwECFAAUAAAACACHTuJAXwOFtMsBAACbAwAADgAAAAAAAAABACAAAAAmAQAA&#10;ZHJzL2Uyb0RvYy54bWxQSwUGAAAAAAYABgBZAQAAYwUAAAAA&#10;">
                <v:fill on="t" focussize="0,0"/>
                <v:stroke on="f"/>
                <v:imagedata o:title=""/>
                <o:lock v:ext="edit" aspectratio="f"/>
                <v:textbox inset="2.85pt,0mm,2.85pt,2.85pt">
                  <w:txbxContent>
                    <w:p w14:paraId="0668E5C1">
                      <w:pPr>
                        <w:widowControl w:val="0"/>
                        <w:jc w:val="center"/>
                        <w:rPr>
                          <w:rFonts w:ascii="方正小标宋简体" w:eastAsia="方正小标宋简体"/>
                          <w:color w:val="FF0000"/>
                          <w:spacing w:val="20"/>
                          <w:w w:val="65"/>
                          <w:sz w:val="100"/>
                          <w:szCs w:val="100"/>
                        </w:rPr>
                      </w:pP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查</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办</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简</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报</w:t>
                      </w:r>
                    </w:p>
                  </w:txbxContent>
                </v:textbox>
              </v:rect>
            </w:pict>
          </mc:Fallback>
        </mc:AlternateContent>
      </w:r>
    </w:p>
    <w:p w14:paraId="593A4D4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4365295E">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highlight w:val="none"/>
          <w:lang w:val="en-US" w:eastAsia="zh-CN"/>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1604010</wp:posOffset>
                </wp:positionH>
                <wp:positionV relativeFrom="paragraph">
                  <wp:posOffset>260350</wp:posOffset>
                </wp:positionV>
                <wp:extent cx="2534285" cy="800100"/>
                <wp:effectExtent l="0" t="0" r="18415" b="0"/>
                <wp:wrapNone/>
                <wp:docPr id="5" name="文本框 5"/>
                <wp:cNvGraphicFramePr/>
                <a:graphic xmlns:a="http://schemas.openxmlformats.org/drawingml/2006/main">
                  <a:graphicData uri="http://schemas.microsoft.com/office/word/2010/wordprocessingShape">
                    <wps:wsp>
                      <wps:cNvSpPr txBox="1"/>
                      <wps:spPr>
                        <a:xfrm>
                          <a:off x="0" y="0"/>
                          <a:ext cx="2534285" cy="800100"/>
                        </a:xfrm>
                        <a:prstGeom prst="rect">
                          <a:avLst/>
                        </a:prstGeom>
                        <a:solidFill>
                          <a:srgbClr val="FFFFFF"/>
                        </a:solidFill>
                        <a:ln>
                          <a:noFill/>
                        </a:ln>
                      </wps:spPr>
                      <wps:txbx>
                        <w:txbxContent>
                          <w:p w14:paraId="074691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(吉林工商学院重点工作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〕第</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期</w:t>
                            </w:r>
                          </w:p>
                        </w:txbxContent>
                      </wps:txbx>
                      <wps:bodyPr upright="1"/>
                    </wps:wsp>
                  </a:graphicData>
                </a:graphic>
              </wp:anchor>
            </w:drawing>
          </mc:Choice>
          <mc:Fallback>
            <w:pict>
              <v:shape id="_x0000_s1026" o:spid="_x0000_s1026" o:spt="202" type="#_x0000_t202" style="position:absolute;left:0pt;margin-left:126.3pt;margin-top:20.5pt;height:63pt;width:199.55pt;z-index:251666432;mso-width-relative:page;mso-height-relative:page;" fillcolor="#FFFFFF" filled="t" stroked="f" coordsize="21600,21600" o:gfxdata="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4elnd1wAAAAoBAAAPAAAAAAAAAAEAIAAAACIAAABkcnMvZG93bnJldi54&#10;bWxQSwECFAAUAAAACACHTuJA8EgDyMIBAAB3AwAADgAAAAAAAAABACAAAAAmAQAAZHJzL2Uyb0Rv&#10;Yy54bWxQSwUGAAAAAAYABgBZAQAAWgUAAAAA&#10;">
                <v:fill on="t" focussize="0,0"/>
                <v:stroke on="f"/>
                <v:imagedata o:title=""/>
                <o:lock v:ext="edit" aspectratio="f"/>
                <v:textbox>
                  <w:txbxContent>
                    <w:p w14:paraId="074691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(吉林工商学院重点工作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〕第</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期</w:t>
                      </w:r>
                    </w:p>
                  </w:txbxContent>
                </v:textbox>
              </v:shape>
            </w:pict>
          </mc:Fallback>
        </mc:AlternateContent>
      </w:r>
    </w:p>
    <w:p w14:paraId="40D14150">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0D4AD2E5">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03117BB0">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mc:AlternateContent>
          <mc:Choice Requires="wpg">
            <w:drawing>
              <wp:anchor distT="0" distB="0" distL="114300" distR="114300" simplePos="0" relativeHeight="251665408" behindDoc="0" locked="0" layoutInCell="1" allowOverlap="1">
                <wp:simplePos x="0" y="0"/>
                <wp:positionH relativeFrom="column">
                  <wp:posOffset>-57150</wp:posOffset>
                </wp:positionH>
                <wp:positionV relativeFrom="paragraph">
                  <wp:posOffset>15875</wp:posOffset>
                </wp:positionV>
                <wp:extent cx="5652135" cy="323850"/>
                <wp:effectExtent l="0" t="15875" r="5715" b="22225"/>
                <wp:wrapNone/>
                <wp:docPr id="12" name="组合 1035"/>
                <wp:cNvGraphicFramePr/>
                <a:graphic xmlns:a="http://schemas.openxmlformats.org/drawingml/2006/main">
                  <a:graphicData uri="http://schemas.microsoft.com/office/word/2010/wordprocessingGroup">
                    <wpg:wgp>
                      <wpg:cNvGrpSpPr/>
                      <wpg:grpSpPr>
                        <a:xfrm rot="0">
                          <a:off x="0" y="0"/>
                          <a:ext cx="5652135" cy="323850"/>
                          <a:chOff x="0" y="0"/>
                          <a:chExt cx="8901" cy="510"/>
                        </a:xfrm>
                      </wpg:grpSpPr>
                      <wps:wsp>
                        <wps:cNvPr id="9" name="直线 1036"/>
                        <wps:cNvCnPr/>
                        <wps:spPr>
                          <a:xfrm>
                            <a:off x="0" y="237"/>
                            <a:ext cx="3960" cy="0"/>
                          </a:xfrm>
                          <a:prstGeom prst="line">
                            <a:avLst/>
                          </a:prstGeom>
                          <a:ln w="15875" cap="flat" cmpd="sng">
                            <a:solidFill>
                              <a:srgbClr val="FF0000">
                                <a:alpha val="100000"/>
                              </a:srgbClr>
                            </a:solidFill>
                            <a:prstDash val="solid"/>
                            <a:headEnd type="none" w="med" len="med"/>
                            <a:tailEnd type="none" w="med" len="med"/>
                          </a:ln>
                        </wps:spPr>
                        <wps:bodyPr upright="1"/>
                      </wps:wsp>
                      <wps:wsp>
                        <wps:cNvPr id="10" name="五角星 1037"/>
                        <wps:cNvSpPr/>
                        <wps:spPr>
                          <a:xfrm>
                            <a:off x="4246" y="0"/>
                            <a:ext cx="510" cy="510"/>
                          </a:xfrm>
                          <a:prstGeom prst="star5">
                            <a:avLst/>
                          </a:prstGeom>
                          <a:solidFill>
                            <a:srgbClr val="FF0000"/>
                          </a:solidFill>
                          <a:ln w="9525" cap="flat" cmpd="sng">
                            <a:solidFill>
                              <a:srgbClr val="FF0000">
                                <a:alpha val="100000"/>
                              </a:srgbClr>
                            </a:solidFill>
                            <a:prstDash val="solid"/>
                            <a:miter/>
                            <a:headEnd type="none" w="med" len="med"/>
                            <a:tailEnd type="none" w="med" len="med"/>
                          </a:ln>
                        </wps:spPr>
                        <wps:bodyPr lIns="36576" tIns="36576" rIns="36576" bIns="36576" upright="1"/>
                      </wps:wsp>
                      <wps:wsp>
                        <wps:cNvPr id="11" name="直线 1038"/>
                        <wps:cNvCnPr/>
                        <wps:spPr>
                          <a:xfrm>
                            <a:off x="4941" y="237"/>
                            <a:ext cx="3960" cy="0"/>
                          </a:xfrm>
                          <a:prstGeom prst="line">
                            <a:avLst/>
                          </a:prstGeom>
                          <a:ln w="15875" cap="flat" cmpd="sng">
                            <a:solidFill>
                              <a:srgbClr val="FF0000">
                                <a:alpha val="100000"/>
                              </a:srgbClr>
                            </a:solidFill>
                            <a:prstDash val="solid"/>
                            <a:headEnd type="none" w="med" len="med"/>
                            <a:tailEnd type="none" w="med" len="med"/>
                          </a:ln>
                        </wps:spPr>
                        <wps:bodyPr upright="1"/>
                      </wps:wsp>
                    </wpg:wgp>
                  </a:graphicData>
                </a:graphic>
              </wp:anchor>
            </w:drawing>
          </mc:Choice>
          <mc:Fallback>
            <w:pict>
              <v:group id="组合 1035" o:spid="_x0000_s1026" o:spt="203" style="position:absolute;left:0pt;margin-left:-4.5pt;margin-top:1.25pt;height:25.5pt;width:445.05pt;z-index:251665408;mso-width-relative:page;mso-height-relative:page;" coordsize="8901,510" o:gfxdata="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gW9nrdgAAAAHAQAADwAAAAAAAAABACAAAAAiAAAAZHJzL2Rvd25yZXYueG1sUEsBAhQAFAAAAAgA&#10;h07iQOFI8foJAwAA9QkAAA4AAAAAAAAAAQAgAAAAJwEAAGRycy9lMm9Eb2MueG1sUEsFBgAAAAAG&#10;AAYAWQEAAKIGAAAAAA==&#10;">
                <o:lock v:ext="edit" aspectratio="f"/>
                <v:line id="直线 1036" o:spid="_x0000_s1026" o:spt="20" style="position:absolute;left:0;top:237;height:0;width:3960;" filled="f" stroked="t" coordsize="21600,21600" o:gfxdata="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4EyvQAA&#10;ANoAAAAPAAAAAAAAAAEAIAAAACIAAABkcnMvZG93bnJldi54bWxQSwECFAAUAAAACACHTuJAMy8F&#10;njsAAAA5AAAAEAAAAAAAAAABACAAAAAMAQAAZHJzL3NoYXBleG1sLnhtbFBLBQYAAAAABgAGAFsB&#10;AAC2AwAAAAA=&#10;">
                  <v:fill on="f" focussize="0,0"/>
                  <v:stroke weight="1.25pt" color="#FF0000" joinstyle="round"/>
                  <v:imagedata o:title=""/>
                  <o:lock v:ext="edit" aspectratio="f"/>
                </v:line>
                <v:shape id="五角星 1037" o:spid="_x0000_s1026" style="position:absolute;left:4246;top:0;height:510;width:510;" fillcolor="#FF0000" filled="t" stroked="t" coordsize="510,510" o:gfxdata="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mu37sAAADb&#10;AAAADwAAAAAAAAABACAAAAAiAAAAZHJzL2Rvd25yZXYueG1sUEsBAhQAFAAAAAgAh07iQDMvBZ47&#10;AAAAOQAAABAAAAAAAAAAAQAgAAAACgEAAGRycy9zaGFwZXhtbC54bWxQSwUGAAAAAAYABgBbAQAA&#10;tAMAAAAA&#10;" path="m0,194l194,194,255,0,315,194,509,194,352,315,412,509,255,389,97,509,157,315xe">
                  <v:path o:connectlocs="255,0;0,194;97,509;412,509;509,194" o:connectangles="247,164,82,82,0"/>
                  <v:fill on="t" focussize="0,0"/>
                  <v:stroke color="#FF0000" joinstyle="miter"/>
                  <v:imagedata o:title=""/>
                  <o:lock v:ext="edit" aspectratio="f"/>
                  <v:textbox inset="1.016mm,1.016mm,1.016mm,1.016mm"/>
                </v:shape>
                <v:line id="直线 1038" o:spid="_x0000_s1026" o:spt="20" style="position:absolute;left:4941;top:237;height:0;width:3960;" filled="f" stroked="t" coordsize="21600,21600" o:gfxdata="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ici68AAAA&#10;2wAAAA8AAAAAAAAAAQAgAAAAIgAAAGRycy9kb3ducmV2LnhtbFBLAQIUABQAAAAIAIdO4kAzLwWe&#10;OwAAADkAAAAQAAAAAAAAAAEAIAAAAAsBAABkcnMvc2hhcGV4bWwueG1sUEsFBgAAAAAGAAYAWwEA&#10;ALUDAAAAAA==&#10;">
                  <v:fill on="f" focussize="0,0"/>
                  <v:stroke weight="1.25pt" color="#FF0000" joinstyle="round"/>
                  <v:imagedata o:title=""/>
                  <o:lock v:ext="edit" aspectratio="f"/>
                </v:line>
              </v:group>
            </w:pict>
          </mc:Fallback>
        </mc:AlternateContent>
      </w:r>
    </w:p>
    <w:p w14:paraId="0AB040CB">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吉林工商学院2024年9月重点工作</w:t>
      </w:r>
    </w:p>
    <w:p w14:paraId="489A43F8">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督查落实情况通报</w:t>
      </w:r>
    </w:p>
    <w:p w14:paraId="4C57F58F">
      <w:pPr>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p>
    <w:p w14:paraId="5A4FE5B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初</w:t>
      </w:r>
      <w:r>
        <w:rPr>
          <w:rFonts w:hint="default" w:ascii="Times New Roman" w:hAnsi="Times New Roman" w:eastAsia="仿宋_GB2312" w:cs="Times New Roman"/>
          <w:color w:val="auto"/>
          <w:sz w:val="32"/>
          <w:szCs w:val="32"/>
          <w:highlight w:val="none"/>
          <w:lang w:val="en-US" w:eastAsia="zh-CN"/>
        </w:rPr>
        <w:t>，学校印发了《吉林工商学院202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年工作要点》（吉工商院党字〔202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号）（以下简称“要点”），要点中明确了五大方面36项具体工作任务。</w:t>
      </w:r>
      <w:r>
        <w:rPr>
          <w:rFonts w:hint="eastAsia" w:eastAsia="仿宋_GB2312" w:cs="Times New Roman"/>
          <w:color w:val="auto"/>
          <w:sz w:val="32"/>
          <w:szCs w:val="32"/>
          <w:highlight w:val="none"/>
          <w:lang w:val="en-US" w:eastAsia="zh-CN"/>
        </w:rPr>
        <w:t>党委办公室、校长办公室</w:t>
      </w:r>
      <w:r>
        <w:rPr>
          <w:rFonts w:hint="default" w:ascii="Times New Roman" w:hAnsi="Times New Roman" w:eastAsia="仿宋_GB2312" w:cs="Times New Roman"/>
          <w:color w:val="auto"/>
          <w:sz w:val="32"/>
          <w:szCs w:val="32"/>
          <w:highlight w:val="none"/>
          <w:lang w:val="en-US" w:eastAsia="zh-CN"/>
        </w:rPr>
        <w:t>向36项具体工作任务的责任部门发布了</w:t>
      </w:r>
      <w:r>
        <w:rPr>
          <w:rFonts w:hint="eastAsia" w:eastAsia="仿宋_GB2312" w:cs="Times New Roman"/>
          <w:color w:val="auto"/>
          <w:sz w:val="32"/>
          <w:szCs w:val="32"/>
          <w:highlight w:val="none"/>
          <w:lang w:val="en-US" w:eastAsia="zh-CN"/>
        </w:rPr>
        <w:t>要点落实</w:t>
      </w:r>
      <w:r>
        <w:rPr>
          <w:rFonts w:hint="default" w:ascii="Times New Roman" w:hAnsi="Times New Roman" w:eastAsia="仿宋_GB2312" w:cs="Times New Roman"/>
          <w:color w:val="auto"/>
          <w:sz w:val="32"/>
          <w:szCs w:val="32"/>
          <w:highlight w:val="none"/>
          <w:lang w:val="en-US" w:eastAsia="zh-CN"/>
        </w:rPr>
        <w:t>情况督查督办通知，调度相关工作进展情况，推动学校年度重点工作任务落实落位。</w:t>
      </w:r>
      <w:r>
        <w:rPr>
          <w:rFonts w:hint="eastAsia" w:eastAsia="仿宋_GB2312" w:cs="Times New Roman"/>
          <w:color w:val="auto"/>
          <w:sz w:val="32"/>
          <w:szCs w:val="32"/>
          <w:highlight w:val="none"/>
          <w:lang w:val="en-US" w:eastAsia="zh-CN"/>
        </w:rPr>
        <w:t>9月重点工作督查落实</w:t>
      </w:r>
      <w:r>
        <w:rPr>
          <w:rFonts w:hint="default" w:ascii="Times New Roman" w:hAnsi="Times New Roman" w:eastAsia="仿宋_GB2312" w:cs="Times New Roman"/>
          <w:color w:val="auto"/>
          <w:sz w:val="32"/>
          <w:szCs w:val="32"/>
          <w:highlight w:val="none"/>
          <w:lang w:val="en-US" w:eastAsia="zh-CN"/>
        </w:rPr>
        <w:t>具体情况如下：</w:t>
      </w:r>
    </w:p>
    <w:p w14:paraId="3122068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一、加强政治建设，提升党对学校工作的全面领导水平</w:t>
      </w:r>
    </w:p>
    <w:p w14:paraId="3287CBA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rPr>
        <w:t>1.坚持不懈用习近平新时代中国特色社会主义思想凝心铸魂（党委宣传部，党委组织部，党委办公室、校长办公室，纪委，教务处，马克思主义学院）</w:t>
      </w:r>
      <w:r>
        <w:rPr>
          <w:rFonts w:hint="eastAsia" w:ascii="仿宋_GB2312" w:hAnsi="仿宋_GB2312" w:eastAsia="仿宋_GB2312" w:cs="仿宋_GB2312"/>
          <w:color w:val="auto"/>
          <w:sz w:val="32"/>
          <w:szCs w:val="32"/>
          <w:highlight w:val="none"/>
          <w:lang w:val="en-US" w:eastAsia="zh-CN"/>
        </w:rPr>
        <w:t>做好“狠抓落实年”主要任务的全面落实。落实“第一议题”制度，开展学习4次。持续强化理论武装，继续拓展主题教育成果，组织做好全校教职工每双周学习，制作并印发《政治理论学习资料》第9期。发布《监督提示函》，持续开展课程思政培训，完成第一届“资深教师大讲堂”第三期活动，完成本轮次《形势与政策》课程。</w:t>
      </w:r>
    </w:p>
    <w:p w14:paraId="0CC77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Segoe UI" w:eastAsia="仿宋_GB2312" w:cs="仿宋_GB2312"/>
          <w:i w:val="0"/>
          <w:iCs w:val="0"/>
          <w:caps w:val="0"/>
          <w:color w:val="auto"/>
          <w:spacing w:val="0"/>
          <w:sz w:val="32"/>
          <w:szCs w:val="32"/>
          <w:highlight w:val="none"/>
          <w:shd w:val="clear" w:fill="FFFFFF"/>
          <w:lang w:val="en-US" w:eastAsia="zh-CN"/>
        </w:rPr>
        <w:t>2.</w:t>
      </w:r>
      <w:r>
        <w:rPr>
          <w:rFonts w:hint="default" w:ascii="Times New Roman" w:hAnsi="Times New Roman" w:eastAsia="楷体" w:cs="Times New Roman"/>
          <w:color w:val="auto"/>
          <w:sz w:val="32"/>
          <w:szCs w:val="32"/>
          <w:highlight w:val="none"/>
          <w:lang w:val="en-US"/>
        </w:rPr>
        <w:t>全面加强党的政治建设和组织建设。</w:t>
      </w:r>
      <w:r>
        <w:rPr>
          <w:rFonts w:hint="default" w:ascii="Times New Roman" w:hAnsi="Times New Roman" w:eastAsia="楷体" w:cs="Times New Roman"/>
          <w:color w:val="auto"/>
          <w:sz w:val="32"/>
          <w:szCs w:val="32"/>
          <w:highlight w:val="none"/>
          <w:u w:val="none"/>
          <w:lang w:val="en-US"/>
        </w:rPr>
        <w:t>（党委组织部、</w:t>
      </w:r>
      <w:r>
        <w:rPr>
          <w:rFonts w:hint="eastAsia" w:eastAsia="楷体" w:cs="Times New Roman"/>
          <w:color w:val="auto"/>
          <w:sz w:val="32"/>
          <w:szCs w:val="32"/>
          <w:highlight w:val="none"/>
          <w:u w:val="none"/>
          <w:lang w:val="en-US" w:eastAsia="zh-CN"/>
        </w:rPr>
        <w:t>党委</w:t>
      </w:r>
      <w:r>
        <w:rPr>
          <w:rFonts w:hint="default" w:ascii="Times New Roman" w:hAnsi="Times New Roman" w:eastAsia="楷体" w:cs="Times New Roman"/>
          <w:color w:val="auto"/>
          <w:sz w:val="32"/>
          <w:szCs w:val="32"/>
          <w:highlight w:val="none"/>
          <w:u w:val="none"/>
          <w:lang w:val="en-US"/>
        </w:rPr>
        <w:t>办公室</w:t>
      </w:r>
      <w:r>
        <w:rPr>
          <w:rFonts w:hint="default" w:ascii="Times New Roman" w:hAnsi="Times New Roman" w:eastAsia="楷体" w:cs="Times New Roman"/>
          <w:color w:val="auto"/>
          <w:sz w:val="32"/>
          <w:szCs w:val="32"/>
          <w:highlight w:val="none"/>
          <w:lang w:val="en-US"/>
        </w:rPr>
        <w:t>、校长办公室</w:t>
      </w:r>
      <w:r>
        <w:rPr>
          <w:rFonts w:hint="default" w:ascii="Times New Roman" w:hAnsi="Times New Roman" w:eastAsia="楷体" w:cs="Times New Roman"/>
          <w:color w:val="auto"/>
          <w:sz w:val="32"/>
          <w:szCs w:val="32"/>
          <w:highlight w:val="none"/>
          <w:u w:val="none"/>
          <w:lang w:val="en-US"/>
        </w:rPr>
        <w:t>）</w:t>
      </w:r>
      <w:r>
        <w:rPr>
          <w:rFonts w:hint="eastAsia" w:ascii="仿宋_GB2312" w:hAnsi="仿宋_GB2312" w:eastAsia="仿宋_GB2312" w:cs="仿宋_GB2312"/>
          <w:color w:val="auto"/>
          <w:sz w:val="32"/>
          <w:szCs w:val="32"/>
          <w:highlight w:val="none"/>
          <w:lang w:val="en-US" w:eastAsia="zh-CN"/>
        </w:rPr>
        <w:t>做好“狠抓落实年”主要任务的全面落实。以党建工作领导小组会议的形式，对党纪学习教育进行总结，召开学生党支部书记培训会，持续推进各基层党组织建设，集中开展庆祝教师节、国庆节主题党日活动，培训智慧党建基地讲解员，组织各学院党员来基地参加活动。</w:t>
      </w:r>
    </w:p>
    <w:p w14:paraId="6AEBBBF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Segoe UI" w:eastAsia="仿宋_GB2312" w:cs="仿宋_GB2312"/>
          <w:i w:val="0"/>
          <w:iCs w:val="0"/>
          <w:caps w:val="0"/>
          <w:color w:val="auto"/>
          <w:spacing w:val="0"/>
          <w:sz w:val="32"/>
          <w:szCs w:val="32"/>
          <w:highlight w:val="none"/>
          <w:shd w:val="clear" w:fill="FFFFFF"/>
          <w:lang w:val="en-US" w:eastAsia="zh-CN"/>
        </w:rPr>
        <w:t>3.</w:t>
      </w:r>
      <w:r>
        <w:rPr>
          <w:rFonts w:hint="default" w:ascii="Times New Roman" w:hAnsi="Times New Roman" w:eastAsia="楷体" w:cs="Times New Roman"/>
          <w:color w:val="auto"/>
          <w:sz w:val="32"/>
          <w:szCs w:val="32"/>
          <w:highlight w:val="none"/>
          <w:lang w:val="en-US"/>
        </w:rPr>
        <w:t>坚定不移推进全面从严治党。</w:t>
      </w:r>
      <w:r>
        <w:rPr>
          <w:rFonts w:hint="default" w:ascii="仿宋_GB2312" w:hAnsi="Segoe UI" w:eastAsia="仿宋_GB2312" w:cs="仿宋_GB2312"/>
          <w:i w:val="0"/>
          <w:iCs w:val="0"/>
          <w:caps w:val="0"/>
          <w:color w:val="auto"/>
          <w:spacing w:val="0"/>
          <w:sz w:val="32"/>
          <w:szCs w:val="32"/>
          <w:highlight w:val="none"/>
          <w:shd w:val="clear" w:fill="FFFFFF"/>
          <w:lang w:val="en-US"/>
        </w:rPr>
        <w:t>（</w:t>
      </w:r>
      <w:r>
        <w:rPr>
          <w:rFonts w:hint="default" w:ascii="Times New Roman" w:hAnsi="Times New Roman" w:eastAsia="楷体" w:cs="Times New Roman"/>
          <w:color w:val="auto"/>
          <w:sz w:val="32"/>
          <w:szCs w:val="32"/>
          <w:highlight w:val="none"/>
          <w:u w:val="none"/>
          <w:lang w:val="en-US"/>
        </w:rPr>
        <w:t>纪委、党委巡察工作办公室、审计处）</w:t>
      </w:r>
      <w:r>
        <w:rPr>
          <w:rFonts w:hint="eastAsia" w:ascii="仿宋_GB2312" w:hAnsi="仿宋_GB2312" w:eastAsia="仿宋_GB2312" w:cs="仿宋_GB2312"/>
          <w:color w:val="auto"/>
          <w:sz w:val="32"/>
          <w:szCs w:val="32"/>
          <w:highlight w:val="none"/>
          <w:lang w:val="en-US" w:eastAsia="zh-CN"/>
        </w:rPr>
        <w:t>做好“狠抓落实年”主要任务的全面落实。</w:t>
      </w:r>
      <w:r>
        <w:rPr>
          <w:rFonts w:hint="eastAsia" w:ascii="仿宋_GB2312" w:hAnsi="仿宋_GB2312" w:eastAsia="仿宋_GB2312" w:cs="仿宋_GB2312"/>
          <w:b w:val="0"/>
          <w:bCs/>
          <w:spacing w:val="8"/>
          <w:kern w:val="0"/>
          <w:sz w:val="32"/>
          <w:szCs w:val="32"/>
          <w:lang w:val="en-US" w:eastAsia="zh-CN" w:bidi="ar"/>
        </w:rPr>
        <w:t>下发《2024年教师节、中秋节、国庆节廉洁提醒函》，组织副处级以上领导干部赴吉林省廉政教育基地参观“全面从严治党永远在路上”廉政教育展览。</w:t>
      </w:r>
    </w:p>
    <w:p w14:paraId="334F307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rPr>
        <w:t>切实维护政治安全和意识形态领域安全。（党委宣传部、党委统战部）</w:t>
      </w:r>
      <w:r>
        <w:rPr>
          <w:rFonts w:hint="eastAsia" w:ascii="仿宋_GB2312" w:hAnsi="仿宋_GB2312" w:eastAsia="仿宋_GB2312" w:cs="仿宋_GB2312"/>
          <w:color w:val="auto"/>
          <w:sz w:val="32"/>
          <w:szCs w:val="32"/>
          <w:highlight w:val="none"/>
          <w:lang w:val="en-US" w:eastAsia="zh-CN"/>
        </w:rPr>
        <w:t>贯彻落实“狠抓落实年”主要任务。制定《2024年基层党组织落实YSXT工作责任制任务清单》，开展2024年上半年YSXT自检自查工作，编印发放《开学季舆情风险提示》材料。</w:t>
      </w:r>
    </w:p>
    <w:p w14:paraId="7E85E4C7">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rPr>
        <w:t>不断加强干部队伍建设。（党委组织部）</w:t>
      </w:r>
      <w:r>
        <w:rPr>
          <w:rFonts w:hint="default" w:ascii="仿宋_GB2312" w:hAnsi="仿宋_GB2312" w:eastAsia="仿宋_GB2312" w:cs="仿宋_GB2312"/>
          <w:color w:val="auto"/>
          <w:sz w:val="32"/>
          <w:szCs w:val="32"/>
          <w:highlight w:val="none"/>
          <w:lang w:val="en-US" w:eastAsia="zh-CN"/>
        </w:rPr>
        <w:t>梳理干部选任工作档案，对新任职干部进行集体谈话和党委书记一对一谈话</w:t>
      </w:r>
      <w:r>
        <w:rPr>
          <w:rFonts w:hint="eastAsia" w:ascii="仿宋_GB2312" w:hAnsi="仿宋_GB2312" w:eastAsia="仿宋_GB2312" w:cs="仿宋_GB2312"/>
          <w:color w:val="auto"/>
          <w:sz w:val="32"/>
          <w:szCs w:val="32"/>
          <w:highlight w:val="none"/>
          <w:lang w:val="en-US" w:eastAsia="zh-CN"/>
        </w:rPr>
        <w:t>，组织全校处级干部参加吉林省委云党校举办的党的二十届三中全会精神专题培训班。</w:t>
      </w:r>
    </w:p>
    <w:p w14:paraId="148AFDD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rPr>
        <w:t>持续加强人才队伍建设。（党委组织部，党委教师工作部、人力资源处，教务处、教师教学发展中心，党委学生工作部、学生工作处）</w:t>
      </w:r>
      <w:r>
        <w:rPr>
          <w:rFonts w:hint="eastAsia" w:ascii="仿宋_GB2312" w:hAnsi="仿宋_GB2312" w:eastAsia="仿宋_GB2312" w:cs="仿宋_GB2312"/>
          <w:color w:val="auto"/>
          <w:sz w:val="32"/>
          <w:szCs w:val="32"/>
          <w:highlight w:val="none"/>
          <w:lang w:val="en-US" w:eastAsia="zh-CN"/>
        </w:rPr>
        <w:t>完成经贸学院院长引进工作，</w:t>
      </w:r>
      <w:r>
        <w:rPr>
          <w:rFonts w:hint="eastAsia" w:ascii="仿宋_GB2312" w:hAnsi="仿宋_GB2312" w:eastAsia="仿宋_GB2312" w:cs="仿宋_GB2312"/>
          <w:sz w:val="32"/>
          <w:szCs w:val="32"/>
          <w:lang w:val="en-US" w:eastAsia="zh-CN"/>
        </w:rPr>
        <w:t xml:space="preserve">制定了6项人才相关制度和方案，组织召开人事人才工作会议，完成吉林省高层次人才分类定级评定推荐工作，完成2024年专业技术三级岗位、人才3.0职称待遇兑现人员、以及专业技术职务晋升人员聘任备案工作，聘任客座教授16名，举办第40个教师节表彰庆祝活动。  </w:t>
      </w:r>
    </w:p>
    <w:p w14:paraId="04A1DA4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rPr>
        <w:t>扎实开展统战群团和离退休工作。（党委统战部，工会、妇委会，团委，离退休工作处）</w:t>
      </w:r>
      <w:r>
        <w:rPr>
          <w:rFonts w:hint="eastAsia" w:ascii="仿宋_GB2312" w:hAnsi="仿宋_GB2312" w:eastAsia="仿宋_GB2312" w:cs="仿宋_GB2312"/>
          <w:color w:val="auto"/>
          <w:sz w:val="32"/>
          <w:szCs w:val="32"/>
          <w:highlight w:val="none"/>
          <w:u w:val="none"/>
          <w:lang w:val="en-US" w:eastAsia="zh-CN"/>
        </w:rPr>
        <w:t>开展迎新、迎接国庆节、中秋节等系列活动，参观“三下江南”战役纪念馆、举办庆祝教师节摄影、书画、征文展，开展“我为评估做贡献”系列主题活动。筹备社会实践表彰大会、校歌合唱汇演、升旗仪式、校园歌手大赛、辩论赛、发展团员、“挑战杯”红色专项赛等活动。举办离退休教师书画、摄影、手工艺作品展，举办“情满教师节、共话教育情”、“金秋颂华诞、银龄展风采”主题活动，推出《人民教师心向党》MV，献礼新中国75周年华诞。</w:t>
      </w:r>
    </w:p>
    <w:p w14:paraId="312C97E8">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rPr>
        <w:t>扎实推动乡村振兴工作。（乡村振兴帮扶工作领导小组</w:t>
      </w:r>
      <w:r>
        <w:rPr>
          <w:rFonts w:hint="eastAsia" w:eastAsia="楷体"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关心关爱在村干部，定期召开视频会议，报送乡村振兴工作案例，梳理搜集乡村振兴成果。</w:t>
      </w:r>
    </w:p>
    <w:p w14:paraId="72CB5C0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黑体" w:cs="Times New Roman"/>
          <w:color w:val="auto"/>
          <w:sz w:val="32"/>
          <w:szCs w:val="32"/>
          <w:highlight w:val="none"/>
          <w:u w:val="none"/>
          <w:lang w:val="en-US"/>
        </w:rPr>
        <w:t>二、落实立德树人根本任务，提升德智体美劳人才培养的能力和水平</w:t>
      </w:r>
    </w:p>
    <w:p w14:paraId="7C01B3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9.</w:t>
      </w:r>
      <w:r>
        <w:rPr>
          <w:rFonts w:hint="default" w:ascii="Times New Roman" w:hAnsi="Times New Roman" w:eastAsia="楷体" w:cs="Times New Roman"/>
          <w:color w:val="auto"/>
          <w:sz w:val="32"/>
          <w:szCs w:val="32"/>
          <w:highlight w:val="none"/>
          <w:u w:val="none"/>
          <w:lang w:val="en-US"/>
        </w:rPr>
        <w:t>做好本科教育教学审核评估。（评建工作办公室，评建专项工作组，各部门，各单位）</w:t>
      </w:r>
      <w:r>
        <w:rPr>
          <w:rFonts w:hint="eastAsia" w:eastAsia="仿宋_GB2312" w:cs="Times New Roman"/>
          <w:color w:val="auto"/>
          <w:sz w:val="32"/>
          <w:szCs w:val="32"/>
          <w:highlight w:val="none"/>
          <w:u w:val="none"/>
          <w:lang w:val="en-US" w:eastAsia="zh-CN"/>
        </w:rPr>
        <w:t>完成审核评估专家组入校预评估，召开本科教育教学审核评估预评估整改工作部署会，邀请专家进行迎评工作专题辅导讲座，制定《吉林工商学院预评估整改工作方案》。开展评估阶段授课教师全覆盖专项听课，推进质量文化建设整改工作。</w:t>
      </w:r>
    </w:p>
    <w:p w14:paraId="652FDB7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eastAsia="楷体"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rPr>
        <w:t>10.优化学科专业布局。（教务处，学科建设办公室，各教学单位）</w:t>
      </w:r>
      <w:r>
        <w:rPr>
          <w:rFonts w:hint="eastAsia" w:ascii="仿宋_GB2312" w:hAnsi="仿宋_GB2312" w:eastAsia="仿宋_GB2312" w:cs="仿宋_GB2312"/>
          <w:color w:val="auto"/>
          <w:sz w:val="32"/>
          <w:szCs w:val="32"/>
          <w:highlight w:val="none"/>
          <w:u w:val="none"/>
          <w:lang w:val="en-US" w:eastAsia="zh-CN"/>
        </w:rPr>
        <w:t>根据预评估专家意见，持续推进优化学科专业布局。</w:t>
      </w:r>
    </w:p>
    <w:p w14:paraId="5E467DA2">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11.</w:t>
      </w:r>
      <w:r>
        <w:rPr>
          <w:rFonts w:hint="default" w:ascii="Times New Roman" w:hAnsi="Times New Roman" w:eastAsia="楷体" w:cs="Times New Roman"/>
          <w:color w:val="auto"/>
          <w:sz w:val="32"/>
          <w:szCs w:val="32"/>
          <w:highlight w:val="none"/>
          <w:u w:val="none"/>
          <w:lang w:val="en-US"/>
        </w:rPr>
        <w:t>推动申硕立项建设。（学科建设办公室，硕士授权立项建设依托单位）</w:t>
      </w:r>
      <w:r>
        <w:rPr>
          <w:rFonts w:hint="eastAsia" w:eastAsia="仿宋_GB2312" w:cs="Times New Roman"/>
          <w:color w:val="auto"/>
          <w:sz w:val="32"/>
          <w:szCs w:val="32"/>
          <w:highlight w:val="none"/>
          <w:u w:val="none"/>
          <w:lang w:val="en-US" w:eastAsia="zh-CN"/>
        </w:rPr>
        <w:t>组织食品科学与工程省级学科开展建设周期校内自评材料撰写，完成答辩。</w:t>
      </w:r>
    </w:p>
    <w:p w14:paraId="25ACADFE">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12.推动思想政治工作高质量发展。</w:t>
      </w:r>
      <w:r>
        <w:rPr>
          <w:rFonts w:hint="eastAsia" w:eastAsia="楷体" w:cs="Times New Roman"/>
          <w:color w:val="auto"/>
          <w:sz w:val="32"/>
          <w:szCs w:val="32"/>
          <w:highlight w:val="none"/>
          <w:u w:val="none"/>
          <w:lang w:val="en-US" w:eastAsia="zh-CN"/>
        </w:rPr>
        <w:t>（党委宣传部，党委学生工作部、学生工作处，马克思主义学院，各部门，各单位）</w:t>
      </w:r>
      <w:r>
        <w:rPr>
          <w:rFonts w:hint="eastAsia" w:eastAsia="仿宋_GB2312" w:cs="Times New Roman"/>
          <w:color w:val="auto"/>
          <w:sz w:val="32"/>
          <w:szCs w:val="32"/>
          <w:highlight w:val="none"/>
          <w:u w:val="none"/>
          <w:lang w:val="en-US" w:eastAsia="zh-CN"/>
        </w:rPr>
        <w:t>开展校园文化宣传宣讲活动，制定《吉林工商学院关于举行中华人民共和国成立75周年庆祝活动的实施方案》，组织上报“易班高共建高校新媒体账号及优质思政内容”，组织开展2024年网络安全宣传周校园日活动。</w:t>
      </w:r>
    </w:p>
    <w:p w14:paraId="70E7408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3</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持续完善育人体系。（教务处，美育文化中心，实验实训管理中心，各教学单位）</w:t>
      </w:r>
      <w:r>
        <w:rPr>
          <w:rFonts w:hint="default" w:ascii="仿宋_GB2312" w:hAnsi="仿宋_GB2312" w:eastAsia="仿宋_GB2312" w:cs="仿宋_GB2312"/>
          <w:color w:val="auto"/>
          <w:sz w:val="32"/>
          <w:szCs w:val="32"/>
          <w:highlight w:val="none"/>
          <w:lang w:val="en-US" w:eastAsia="zh-CN"/>
        </w:rPr>
        <w:t>优化课程体系，完成2024版人才培养方案的印刷并在全校范围内</w:t>
      </w:r>
      <w:r>
        <w:rPr>
          <w:rFonts w:hint="eastAsia" w:ascii="仿宋_GB2312" w:hAnsi="仿宋_GB2312" w:eastAsia="仿宋_GB2312" w:cs="仿宋_GB2312"/>
          <w:color w:val="auto"/>
          <w:sz w:val="32"/>
          <w:szCs w:val="32"/>
          <w:highlight w:val="none"/>
          <w:lang w:val="en-US" w:eastAsia="zh-CN"/>
        </w:rPr>
        <w:t>发放</w:t>
      </w:r>
      <w:r>
        <w:rPr>
          <w:rFonts w:hint="default" w:ascii="仿宋_GB2312" w:hAnsi="仿宋_GB2312" w:eastAsia="仿宋_GB2312" w:cs="仿宋_GB2312"/>
          <w:color w:val="auto"/>
          <w:sz w:val="32"/>
          <w:szCs w:val="32"/>
          <w:highlight w:val="none"/>
          <w:lang w:val="en-US" w:eastAsia="zh-CN"/>
        </w:rPr>
        <w:t>。</w:t>
      </w:r>
    </w:p>
    <w:p w14:paraId="5D522BF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ascii="Times New Roman" w:hAnsi="Times New Roman"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eastAsia="zh-CN"/>
        </w:rPr>
        <w:t>.加强教学管理和教学质量监控。（教务处，教学质量监控与评价中心，各教学单位）</w:t>
      </w:r>
      <w:r>
        <w:rPr>
          <w:rFonts w:hint="eastAsia" w:ascii="仿宋_GB2312" w:hAnsi="仿宋_GB2312" w:eastAsia="仿宋_GB2312" w:cs="仿宋_GB2312"/>
          <w:color w:val="auto"/>
          <w:sz w:val="32"/>
          <w:szCs w:val="32"/>
          <w:highlight w:val="none"/>
          <w:lang w:val="en-US" w:eastAsia="zh-CN"/>
        </w:rPr>
        <w:t>修订《吉林工商学院教学质量保障工作手册》,开展质量文化建设整改、2023-2024（2）期末试卷检查反馈整改和校级、院级、同行听课工作。</w:t>
      </w:r>
    </w:p>
    <w:p w14:paraId="728D11E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强化实践教学过程管理。（教务处，教学质量监控与评价中心，实验实训管理中心，各教学单位）</w:t>
      </w:r>
      <w:r>
        <w:rPr>
          <w:rFonts w:hint="eastAsia" w:ascii="仿宋_GB2312" w:hAnsi="仿宋_GB2312" w:eastAsia="仿宋_GB2312" w:cs="仿宋_GB2312"/>
          <w:color w:val="auto"/>
          <w:sz w:val="32"/>
          <w:szCs w:val="32"/>
          <w:highlight w:val="none"/>
          <w:lang w:val="en-US" w:eastAsia="zh-CN"/>
        </w:rPr>
        <w:t>完成国家毕业论文（设计）抽检平台的毕业论文（设计）资料上传和专家库上报工作，制定毕业论文（设计）检查工作要求，完成实践教学课程专项检查工作。</w:t>
      </w:r>
    </w:p>
    <w:p w14:paraId="5034DDB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强化课程与教材建设。（教务处</w:t>
      </w:r>
      <w:r>
        <w:rPr>
          <w:rFonts w:hint="eastAsia"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各教学单位）</w:t>
      </w:r>
      <w:r>
        <w:rPr>
          <w:rFonts w:hint="eastAsia" w:ascii="仿宋_GB2312" w:hAnsi="仿宋_GB2312" w:eastAsia="仿宋_GB2312" w:cs="仿宋_GB2312"/>
          <w:color w:val="auto"/>
          <w:sz w:val="32"/>
          <w:szCs w:val="32"/>
          <w:highlight w:val="none"/>
          <w:lang w:val="en-US" w:eastAsia="zh-CN"/>
        </w:rPr>
        <w:t>加强编写教材研讨工作，完成13个教学单位2024-2025学年第一学期新生教材发放，撰写教材建设管理整改报告，完成省级“十四五”规划教材的推选工作。</w:t>
      </w:r>
    </w:p>
    <w:p w14:paraId="20ABDFF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持续推进创新创业教育。（实验实训管理中心、各教学学院）</w:t>
      </w:r>
      <w:r>
        <w:rPr>
          <w:rFonts w:hint="eastAsia" w:ascii="仿宋_GB2312" w:hAnsi="仿宋_GB2312" w:eastAsia="仿宋_GB2312" w:cs="仿宋_GB2312"/>
          <w:color w:val="auto"/>
          <w:sz w:val="32"/>
          <w:szCs w:val="32"/>
          <w:highlight w:val="none"/>
          <w:lang w:val="en-US" w:eastAsia="zh-CN"/>
        </w:rPr>
        <w:t>完成工学院专业实验室改造项目施工监督和验收，完成云桌面项目（一期）的申报和招标。完成预评估专家入校参观路线的制定及参观接待，配合统计实验室的有关数据。</w:t>
      </w:r>
    </w:p>
    <w:p w14:paraId="43AFEA9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rPr>
        <w:t>完善学生管理服务。（党委学生工作部、学生工作处，团委，各教学学院）</w:t>
      </w:r>
      <w:r>
        <w:rPr>
          <w:rFonts w:hint="eastAsia" w:ascii="仿宋_GB2312" w:hAnsi="仿宋_GB2312" w:eastAsia="仿宋_GB2312" w:cs="仿宋_GB2312"/>
          <w:i w:val="0"/>
          <w:iCs w:val="0"/>
          <w:color w:val="auto"/>
          <w:kern w:val="28"/>
          <w:sz w:val="32"/>
          <w:szCs w:val="32"/>
          <w:highlight w:val="none"/>
          <w:lang w:val="en-US" w:eastAsia="zh-CN" w:bidi="ar-SA"/>
        </w:rPr>
        <w:t>开展红色观影和庆祝国庆节、中秋节特别活动。开展2024-2025学年家庭经济困难学生认定工作，开展国家奖学金评审工作。完善2024-2045学年第一学期《大学生心理健康教育》课程标准、教案及课件，优化微信公众平台内容，开展2024级新生心理普查，开展心理健康教育专题讲座，完成心理问题学生复学资料归档，组织专职教师参加吉林省高校心理健康教育骨干教师培训暨心理危机预防与干预能力比赛。 开展少数民族思想政治教育，共同制作传统手工，录制视频《石榴花开》，筑牢中华民族共同体意识。</w:t>
      </w:r>
    </w:p>
    <w:p w14:paraId="27F5875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FF"/>
          <w:kern w:val="2"/>
          <w:sz w:val="32"/>
          <w:szCs w:val="32"/>
          <w:shd w:val="clear" w:color="auto" w:fill="FFFFFF"/>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9</w:t>
      </w:r>
      <w:r>
        <w:rPr>
          <w:rFonts w:hint="default" w:ascii="Times New Roman" w:hAnsi="Times New Roman" w:eastAsia="楷体" w:cs="Times New Roman"/>
          <w:color w:val="auto"/>
          <w:sz w:val="32"/>
          <w:szCs w:val="32"/>
          <w:highlight w:val="none"/>
          <w:u w:val="none"/>
          <w:lang w:val="en-US" w:eastAsia="zh-CN"/>
        </w:rPr>
        <w:t>.</w:t>
      </w:r>
      <w:r>
        <w:rPr>
          <w:rFonts w:hint="eastAsia" w:eastAsia="楷体" w:cs="Times New Roman"/>
          <w:color w:val="auto"/>
          <w:sz w:val="32"/>
          <w:szCs w:val="32"/>
          <w:highlight w:val="none"/>
          <w:u w:val="none"/>
          <w:lang w:val="en-US" w:eastAsia="zh-CN"/>
        </w:rPr>
        <w:t>提升</w:t>
      </w:r>
      <w:r>
        <w:rPr>
          <w:rFonts w:hint="default" w:ascii="Times New Roman" w:hAnsi="Times New Roman" w:eastAsia="楷体" w:cs="Times New Roman"/>
          <w:color w:val="auto"/>
          <w:sz w:val="32"/>
          <w:szCs w:val="32"/>
          <w:highlight w:val="none"/>
          <w:u w:val="none"/>
          <w:lang w:val="en-US"/>
        </w:rPr>
        <w:t>招生工作质量。（</w:t>
      </w:r>
      <w:r>
        <w:rPr>
          <w:rFonts w:hint="default" w:ascii="Times New Roman" w:hAnsi="Times New Roman" w:eastAsia="楷体" w:cs="Times New Roman"/>
          <w:color w:val="auto"/>
          <w:sz w:val="32"/>
          <w:szCs w:val="32"/>
          <w:highlight w:val="none"/>
          <w:u w:val="none"/>
          <w:lang w:val="en-US" w:eastAsia="zh-CN"/>
        </w:rPr>
        <w:t>教务处、招生工作办公室，继续教育学院</w:t>
      </w:r>
      <w:r>
        <w:rPr>
          <w:rFonts w:hint="default" w:ascii="Times New Roman" w:hAnsi="Times New Roman" w:eastAsia="楷体" w:cs="Times New Roman"/>
          <w:color w:val="auto"/>
          <w:sz w:val="32"/>
          <w:szCs w:val="32"/>
          <w:highlight w:val="none"/>
          <w:u w:val="none"/>
          <w:lang w:val="en-US"/>
        </w:rPr>
        <w:t>）</w:t>
      </w:r>
      <w:r>
        <w:rPr>
          <w:rFonts w:hint="eastAsia" w:ascii="仿宋_GB2312" w:hAnsi="仿宋_GB2312" w:eastAsia="仿宋_GB2312" w:cs="仿宋_GB2312"/>
          <w:i w:val="0"/>
          <w:iCs w:val="0"/>
          <w:color w:val="auto"/>
          <w:kern w:val="28"/>
          <w:sz w:val="32"/>
          <w:szCs w:val="32"/>
          <w:highlight w:val="none"/>
          <w:lang w:val="en-US" w:eastAsia="zh-CN" w:bidi="ar-SA"/>
        </w:rPr>
        <w:t>统计分析2024年录取数据，整理下发新生三联单，调研各教学学院2025年招生计划意向，完成学校2024年各省录取费用缴纳，收集整理各省新生录取花名册。</w:t>
      </w:r>
      <w:r>
        <w:rPr>
          <w:rFonts w:hint="eastAsia" w:ascii="仿宋_GB2312" w:hAnsi="宋体" w:eastAsia="仿宋_GB2312" w:cs="仿宋_GB2312"/>
          <w:color w:val="000000"/>
          <w:sz w:val="32"/>
          <w:szCs w:val="32"/>
          <w:shd w:val="clear" w:color="auto" w:fill="FFFFFF"/>
        </w:rPr>
        <w:t>完成成人高校招生来源计划管理系统校外教学点信息和招生专业信息填报；协调省内2024年备案10家合作校外教学点做好2025年函授招生工作，报名人数1540。继续教育学院与</w:t>
      </w:r>
      <w:r>
        <w:rPr>
          <w:rFonts w:hint="eastAsia" w:ascii="仿宋_GB2312" w:hAnsi="宋体" w:eastAsia="仿宋_GB2312" w:cs="仿宋_GB2312"/>
          <w:color w:val="000000"/>
          <w:sz w:val="32"/>
          <w:szCs w:val="32"/>
          <w:shd w:val="clear" w:color="auto" w:fill="FFFFFF"/>
          <w:lang w:val="en-US" w:eastAsia="zh-CN"/>
        </w:rPr>
        <w:t>长春市</w:t>
      </w:r>
      <w:r>
        <w:rPr>
          <w:rFonts w:hint="eastAsia" w:ascii="仿宋_GB2312" w:hAnsi="宋体" w:eastAsia="仿宋_GB2312" w:cs="仿宋_GB2312"/>
          <w:color w:val="000000"/>
          <w:sz w:val="32"/>
          <w:szCs w:val="32"/>
          <w:shd w:val="clear" w:color="auto" w:fill="FFFFFF"/>
        </w:rPr>
        <w:t>九台区相关部门取得联系</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承办了九台区为期三天的培训。</w:t>
      </w:r>
    </w:p>
    <w:p w14:paraId="66AA56C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8"/>
          <w:sz w:val="32"/>
          <w:szCs w:val="32"/>
          <w:highlight w:val="none"/>
          <w:lang w:val="en-US" w:eastAsia="zh-CN" w:bidi="ar-SA"/>
        </w:rPr>
      </w:pPr>
      <w:r>
        <w:rPr>
          <w:rFonts w:hint="eastAsia" w:eastAsia="楷体" w:cs="Times New Roman"/>
          <w:color w:val="auto"/>
          <w:sz w:val="32"/>
          <w:szCs w:val="32"/>
          <w:highlight w:val="none"/>
          <w:u w:val="none"/>
          <w:lang w:val="en-US" w:eastAsia="zh-CN"/>
        </w:rPr>
        <w:t>20</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提升就业服务水平。（就业工作处，各教学学院）</w:t>
      </w:r>
      <w:r>
        <w:rPr>
          <w:rFonts w:hint="eastAsia" w:ascii="仿宋_GB2312" w:hAnsi="仿宋_GB2312" w:eastAsia="仿宋_GB2312" w:cs="仿宋_GB2312"/>
          <w:i w:val="0"/>
          <w:iCs w:val="0"/>
          <w:color w:val="auto"/>
          <w:kern w:val="28"/>
          <w:sz w:val="32"/>
          <w:szCs w:val="32"/>
          <w:highlight w:val="none"/>
          <w:lang w:val="en-US" w:eastAsia="zh-CN" w:bidi="ar-SA"/>
        </w:rPr>
        <w:t>召开2025届毕业生就业工作部署会，下发《2025届毕业生就业工作指导意见（第一期）》；组织开展2024级新生“点亮职业梦想 开启精彩人生”职业生涯教育月活动。组织召开吉林省优势特色产业类毕业生就业洽谈会暨2025届毕业生秋季校园招聘会。确定10个优秀毕业生就业、创业典型案例编入审核评估自评报告。组织开展“财智人生，卓越未来-工商学院大讲堂”第二期、第三期活动、2024级新生《关于开展高校大学生留吉兴吉行动——新生入学“五个一”活动》。</w:t>
      </w:r>
    </w:p>
    <w:p w14:paraId="1EA5839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1</w:t>
      </w:r>
      <w:r>
        <w:rPr>
          <w:rFonts w:hint="default" w:ascii="Times New Roman" w:hAnsi="Times New Roman" w:eastAsia="楷体" w:cs="Times New Roman"/>
          <w:color w:val="auto"/>
          <w:sz w:val="32"/>
          <w:szCs w:val="32"/>
          <w:highlight w:val="none"/>
          <w:u w:val="none"/>
          <w:lang w:val="en-US" w:eastAsia="zh-CN"/>
        </w:rPr>
        <w:t>.深化国际合作交流。（国际合作与交流处）</w:t>
      </w:r>
      <w:r>
        <w:rPr>
          <w:rFonts w:hint="eastAsia" w:ascii="仿宋_GB2312" w:hAnsi="仿宋_GB2312" w:eastAsia="仿宋_GB2312" w:cs="仿宋_GB2312"/>
          <w:i w:val="0"/>
          <w:iCs w:val="0"/>
          <w:color w:val="auto"/>
          <w:kern w:val="28"/>
          <w:sz w:val="32"/>
          <w:szCs w:val="32"/>
          <w:highlight w:val="none"/>
          <w:lang w:val="en-US" w:eastAsia="zh-CN" w:bidi="ar-SA"/>
        </w:rPr>
        <w:t>派出高校团组赴韩国、日本出访。与北海道文教大学签署合作交流备忘录，组织学生参加澳门科技大学2024-2025学年第二学期短期交流项目，举行法国雷恩商学院留学项目宣讲会。</w:t>
      </w:r>
    </w:p>
    <w:p w14:paraId="1E565A7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u w:val="none"/>
          <w:lang w:val="en-US"/>
        </w:rPr>
      </w:pPr>
      <w:r>
        <w:rPr>
          <w:rFonts w:hint="default" w:ascii="Times New Roman" w:hAnsi="Times New Roman" w:eastAsia="黑体" w:cs="Times New Roman"/>
          <w:color w:val="auto"/>
          <w:sz w:val="32"/>
          <w:szCs w:val="32"/>
          <w:highlight w:val="none"/>
          <w:u w:val="none"/>
          <w:lang w:val="en-US"/>
        </w:rPr>
        <w:t>三、完善大学治理体系，提升综合治理能力</w:t>
      </w:r>
    </w:p>
    <w:p w14:paraId="1808353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rPr>
        <w:t>2</w:t>
      </w:r>
      <w:r>
        <w:rPr>
          <w:rFonts w:hint="eastAsia" w:eastAsia="楷体" w:cs="Times New Roman"/>
          <w:color w:val="auto"/>
          <w:sz w:val="32"/>
          <w:szCs w:val="32"/>
          <w:highlight w:val="none"/>
          <w:u w:val="none"/>
          <w:lang w:val="en-US" w:eastAsia="zh-CN"/>
        </w:rPr>
        <w:t>2</w:t>
      </w:r>
      <w:r>
        <w:rPr>
          <w:rFonts w:hint="default" w:ascii="Times New Roman" w:hAnsi="Times New Roman" w:eastAsia="楷体" w:cs="Times New Roman"/>
          <w:color w:val="auto"/>
          <w:sz w:val="32"/>
          <w:szCs w:val="32"/>
          <w:highlight w:val="none"/>
          <w:u w:val="none"/>
          <w:lang w:val="en-US"/>
        </w:rPr>
        <w:t>.完善大学治理体系。（发展规划与政策法规处，人力资源处，各部门，各单位）</w:t>
      </w:r>
      <w:r>
        <w:rPr>
          <w:rFonts w:hint="eastAsia" w:ascii="仿宋_GB2312" w:hAnsi="仿宋_GB2312" w:eastAsia="仿宋_GB2312" w:cs="仿宋_GB2312"/>
          <w:i w:val="0"/>
          <w:iCs w:val="0"/>
          <w:color w:val="auto"/>
          <w:kern w:val="28"/>
          <w:sz w:val="32"/>
          <w:szCs w:val="32"/>
          <w:highlight w:val="none"/>
          <w:lang w:val="en-US" w:eastAsia="zh-CN" w:bidi="ar-SA"/>
        </w:rPr>
        <w:t>组织完成291项制度的汇编工作。推进学校有关改革工作，组织开展学校“三年行动”方案的起草编制工作，推进学校实行校院两级管理体制有关工作，进行相关调研。</w:t>
      </w:r>
    </w:p>
    <w:p w14:paraId="5BB09CE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olor w:val="auto"/>
          <w:kern w:val="28"/>
          <w:sz w:val="32"/>
          <w:szCs w:val="32"/>
          <w:highlight w:val="none"/>
          <w:lang w:val="en-US" w:eastAsia="zh-CN" w:bidi="ar-SA"/>
        </w:rPr>
      </w:pPr>
      <w:r>
        <w:rPr>
          <w:rFonts w:hint="eastAsia" w:ascii="楷体_GB2312" w:hAnsi="楷体_GB2312" w:eastAsia="楷体_GB2312" w:cs="楷体_GB2312"/>
          <w:color w:val="auto"/>
          <w:sz w:val="32"/>
          <w:szCs w:val="32"/>
          <w:highlight w:val="none"/>
          <w:u w:val="none"/>
          <w:lang w:val="en-US" w:eastAsia="zh-CN"/>
        </w:rPr>
        <w:t>23.</w:t>
      </w:r>
      <w:r>
        <w:rPr>
          <w:rFonts w:hint="default" w:ascii="Times New Roman" w:hAnsi="Times New Roman" w:eastAsia="楷体" w:cs="Times New Roman"/>
          <w:color w:val="auto"/>
          <w:sz w:val="32"/>
          <w:szCs w:val="32"/>
          <w:highlight w:val="none"/>
          <w:u w:val="none"/>
          <w:lang w:val="en-US"/>
        </w:rPr>
        <w:t>提升财务管理水平。（财务管理处，各部门，各单位）</w:t>
      </w:r>
      <w:r>
        <w:rPr>
          <w:rFonts w:hint="eastAsia" w:ascii="仿宋_GB2312" w:hAnsi="仿宋_GB2312" w:eastAsia="仿宋_GB2312" w:cs="仿宋_GB2312"/>
          <w:color w:val="auto"/>
          <w:sz w:val="32"/>
          <w:szCs w:val="32"/>
          <w:highlight w:val="none"/>
          <w:u w:val="none"/>
          <w:lang w:val="en-US" w:eastAsia="zh-CN"/>
        </w:rPr>
        <w:t>梳理形成学校1-8月预算执行情况，做好审核评估、“四项工程”等重点项目资金保障。按照省委审计委员会办公室、省审计厅的提出的整改要求和审计建议，制订整改方案，积极落实整改举措。同时，进一步加强和完善内控制度建设，确保各项工作稳步有序推进。</w:t>
      </w:r>
    </w:p>
    <w:p w14:paraId="79F17F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统筹推进“十四五”发展规划。（发展规划与政策法规处，各部门，各单位）</w:t>
      </w:r>
      <w:r>
        <w:rPr>
          <w:rFonts w:hint="eastAsia" w:ascii="仿宋_GB2312" w:hAnsi="仿宋_GB2312" w:eastAsia="仿宋_GB2312" w:cs="仿宋_GB2312"/>
          <w:i w:val="0"/>
          <w:iCs w:val="0"/>
          <w:color w:val="auto"/>
          <w:kern w:val="28"/>
          <w:sz w:val="32"/>
          <w:szCs w:val="32"/>
          <w:highlight w:val="none"/>
          <w:lang w:val="en-US" w:eastAsia="zh-CN" w:bidi="ar-SA"/>
        </w:rPr>
        <w:t>对学校“十四五”事业发展规划迎评材料进行整理。</w:t>
      </w:r>
    </w:p>
    <w:p w14:paraId="351394C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25.加强校园文化建设。（党委宣传部，各教学学院）</w:t>
      </w:r>
      <w:r>
        <w:rPr>
          <w:rFonts w:hint="eastAsia" w:ascii="仿宋_GB2312" w:hAnsi="仿宋_GB2312" w:eastAsia="仿宋_GB2312" w:cs="仿宋_GB2312"/>
          <w:i w:val="0"/>
          <w:iCs w:val="0"/>
          <w:color w:val="auto"/>
          <w:sz w:val="32"/>
          <w:szCs w:val="32"/>
          <w:highlight w:val="none"/>
          <w:lang w:val="en-US" w:eastAsia="zh-CN"/>
        </w:rPr>
        <w:t>更换校园文化宣传文化长廊主题为“筑牢中华民族共同体意识”，更换以二十届三中全会为主题的宣传展板，设计、制作国庆主题路灯刀匾99套，更换学校北门、西门主题展板，在校内环路悬挂条幅，营造庆祝中华人民共和国成立75周的热烈氛围。</w:t>
      </w:r>
    </w:p>
    <w:p w14:paraId="5A28036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筑牢校园安全防线。（党委安全保卫部、安全保卫处，后勤保障处，实验实训管理中心，党委办公室、校长办公室，网络建设与信息管理中心，各部门，各单位）</w:t>
      </w:r>
      <w:r>
        <w:rPr>
          <w:rFonts w:hint="eastAsia" w:ascii="仿宋_GB2312" w:hAnsi="仿宋_GB2312" w:eastAsia="仿宋_GB2312" w:cs="仿宋_GB2312"/>
          <w:i w:val="0"/>
          <w:iCs w:val="0"/>
          <w:color w:val="auto"/>
          <w:sz w:val="32"/>
          <w:szCs w:val="32"/>
          <w:highlight w:val="none"/>
          <w:lang w:val="en-US" w:eastAsia="zh-CN"/>
        </w:rPr>
        <w:t>做好“狠抓落实年”主要任务的全面落实。对外包人员（保安及更值）进行政审，维修更换消火栓门23套、消火栓门玻璃46块、消火栓门锁230个。组织召开了食品安全工作专题会议。起草《吉林工商学院2024年高等学校实验室安全自查整改总结报告》。健全完善制度建设，梳理网络和信息安全管理相关制度37条，拟汇编成册，形成本年度网络安全培训和应急演练的工作方案，完成秋季开学期重点时段网络安全保障工作，完成网络安全宣传周（9月9日-15日）相关工作，完成吉林省公安厅全天候攻防演练防护护网工作，完成吉林省教育系统网络安全应急演练工作</w:t>
      </w:r>
      <w:r>
        <w:rPr>
          <w:rFonts w:hint="eastAsia" w:ascii="仿宋_GB2312" w:hAnsi="仿宋_GB2312" w:eastAsia="仿宋_GB2312" w:cs="仿宋_GB2312"/>
          <w:color w:val="auto"/>
          <w:sz w:val="32"/>
          <w:szCs w:val="32"/>
          <w:highlight w:val="none"/>
          <w:lang w:val="en-US" w:eastAsia="zh-CN"/>
        </w:rPr>
        <w:t>。</w:t>
      </w:r>
    </w:p>
    <w:p w14:paraId="5ECE51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eastAsia="zh-CN"/>
        </w:rPr>
        <w:t>.强化服务保障能力。（后勤保障处，基建管理处，校医院，档案馆、校史馆，图书馆，学报编辑部）</w:t>
      </w:r>
      <w:r>
        <w:rPr>
          <w:rFonts w:hint="eastAsia" w:ascii="仿宋_GB2312" w:hAnsi="仿宋_GB2312" w:eastAsia="仿宋_GB2312" w:cs="仿宋_GB2312"/>
          <w:i w:val="0"/>
          <w:iCs w:val="0"/>
          <w:color w:val="auto"/>
          <w:sz w:val="32"/>
          <w:szCs w:val="32"/>
          <w:highlight w:val="none"/>
          <w:lang w:val="en-US" w:eastAsia="zh-CN"/>
        </w:rPr>
        <w:t>提前做好各类树木冬季防寒的各项准备工作，对冬季供暖各项工作提前进行部署。加快完善图书馆、体育馆规划。完成“吉林工商学院图书馆文献信息资源采购项目（二包）”(数字资源部分)合同签订、部门验收工作，完成“吉林工商学院图书馆文献信息资源采购项目（一包）”（纸质图书资源部分）招标工作，执行同签订程序。</w:t>
      </w:r>
    </w:p>
    <w:p w14:paraId="4F095362">
      <w:pPr>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做好资产管理。（资产管理处）</w:t>
      </w:r>
      <w:r>
        <w:rPr>
          <w:rFonts w:hint="eastAsia" w:ascii="仿宋_GB2312" w:hAnsi="仿宋_GB2312" w:eastAsia="仿宋_GB2312" w:cs="仿宋_GB2312"/>
          <w:i w:val="0"/>
          <w:iCs w:val="0"/>
          <w:color w:val="auto"/>
          <w:sz w:val="32"/>
          <w:szCs w:val="32"/>
          <w:highlight w:val="none"/>
          <w:lang w:val="en-US" w:eastAsia="zh-CN"/>
        </w:rPr>
        <w:t>成立专门的资产报废处置工作小组，对和平校区的资产进行全面清查，逐一登记造册，进行报废资产公示。健全房产管理制度，建立房产档案管理制度，对学校所有房产进行登记归档，规范房产使用管理，加强房产信息化建设。</w:t>
      </w:r>
    </w:p>
    <w:p w14:paraId="69DAE54A">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2</w:t>
      </w:r>
      <w:r>
        <w:rPr>
          <w:rFonts w:hint="eastAsia" w:eastAsia="楷体" w:cs="Times New Roman"/>
          <w:color w:val="auto"/>
          <w:sz w:val="32"/>
          <w:szCs w:val="32"/>
          <w:highlight w:val="none"/>
          <w:lang w:val="en-US" w:eastAsia="zh-CN"/>
        </w:rPr>
        <w:t>9</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楷体" w:cs="Times New Roman"/>
          <w:color w:val="auto"/>
          <w:sz w:val="32"/>
          <w:szCs w:val="32"/>
          <w:highlight w:val="none"/>
          <w:lang w:val="en-US"/>
        </w:rPr>
        <w:t>做好审计工作</w:t>
      </w:r>
      <w:r>
        <w:rPr>
          <w:rFonts w:hint="default" w:ascii="Times New Roman" w:hAnsi="Times New Roman" w:eastAsia="楷体" w:cs="Times New Roman"/>
          <w:color w:val="auto"/>
          <w:sz w:val="32"/>
          <w:szCs w:val="32"/>
          <w:highlight w:val="none"/>
          <w:u w:val="none"/>
          <w:lang w:val="en-US"/>
        </w:rPr>
        <w:t>。</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审计处，资产管理处，基建管理处</w:t>
      </w:r>
      <w:r>
        <w:rPr>
          <w:rFonts w:hint="default" w:ascii="Times New Roman" w:hAnsi="Times New Roman" w:eastAsia="楷体" w:cs="Times New Roman"/>
          <w:color w:val="auto"/>
          <w:sz w:val="32"/>
          <w:szCs w:val="32"/>
          <w:highlight w:val="none"/>
          <w:u w:val="none"/>
          <w:lang w:val="en-US" w:eastAsia="zh-CN"/>
        </w:rPr>
        <w:t>）</w:t>
      </w:r>
      <w:r>
        <w:rPr>
          <w:rFonts w:hint="eastAsia" w:ascii="仿宋_GB2312" w:hAnsi="仿宋_GB2312" w:eastAsia="仿宋_GB2312" w:cs="仿宋_GB2312"/>
          <w:i w:val="0"/>
          <w:iCs w:val="0"/>
          <w:color w:val="auto"/>
          <w:sz w:val="32"/>
          <w:szCs w:val="32"/>
          <w:highlight w:val="none"/>
          <w:lang w:val="en-US" w:eastAsia="zh-CN"/>
        </w:rPr>
        <w:t>完成政专项资金项目和日常维修项目、设备招标及日常维修项目预算、结算审计14项，完成17名处级正职领导人员的离任审计工作。</w:t>
      </w:r>
    </w:p>
    <w:p w14:paraId="1F2B569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楷体" w:cs="Times New Roman"/>
          <w:color w:val="auto"/>
          <w:sz w:val="32"/>
          <w:szCs w:val="32"/>
          <w:highlight w:val="none"/>
          <w:u w:val="none"/>
          <w:lang w:val="en-US" w:eastAsia="zh-CN"/>
        </w:rPr>
        <w:t>30</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推动“智慧校园”建设。（网络建设与信息管理中心，各部门，各单位）</w:t>
      </w:r>
      <w:r>
        <w:rPr>
          <w:rFonts w:hint="eastAsia" w:ascii="仿宋_GB2312" w:hAnsi="仿宋_GB2312" w:eastAsia="仿宋_GB2312" w:cs="仿宋_GB2312"/>
          <w:i w:val="0"/>
          <w:iCs w:val="0"/>
          <w:color w:val="auto"/>
          <w:sz w:val="32"/>
          <w:szCs w:val="32"/>
          <w:highlight w:val="none"/>
          <w:lang w:val="en-US" w:eastAsia="zh-CN"/>
        </w:rPr>
        <w:t>协助行政部门和教学单位完成多个网站改版工作。完成本科教育教学审核评估预检工作技术保障事宜，协调教务处、各项目单位、超星公司对全校范围内建设的信息系统进行风险排查，完成“办公耗材采购申请”“校内施工单位人员登记申请”等两个流程的测试工作。完成移动、联通两家运营商合同的前期准备工作。</w:t>
      </w:r>
    </w:p>
    <w:p w14:paraId="02DF9339">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0"/>
        <w:rPr>
          <w:rFonts w:hint="eastAsia" w:ascii="仿宋_GB2312" w:hAnsi="仿宋_GB2312" w:eastAsia="仿宋_GB2312" w:cs="仿宋_GB2312"/>
          <w:i w:val="0"/>
          <w:iCs w:val="0"/>
          <w:color w:val="auto"/>
          <w:sz w:val="32"/>
          <w:szCs w:val="32"/>
          <w:highlight w:val="none"/>
          <w:lang w:val="en-US" w:eastAsia="zh-CN"/>
        </w:rPr>
      </w:pPr>
      <w:r>
        <w:rPr>
          <w:rFonts w:hint="eastAsia" w:eastAsia="楷体" w:cs="Times New Roman"/>
          <w:color w:val="auto"/>
          <w:sz w:val="32"/>
          <w:szCs w:val="32"/>
          <w:highlight w:val="none"/>
          <w:u w:val="none"/>
          <w:lang w:val="en-US" w:eastAsia="zh-CN"/>
        </w:rPr>
        <w:t>31</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完善校友工作机制。（校友工作办公室，各教学学院）</w:t>
      </w:r>
      <w:r>
        <w:rPr>
          <w:rFonts w:hint="eastAsia" w:ascii="仿宋_GB2312" w:hAnsi="仿宋_GB2312" w:eastAsia="仿宋_GB2312" w:cs="仿宋_GB2312"/>
          <w:i w:val="0"/>
          <w:iCs w:val="0"/>
          <w:color w:val="auto"/>
          <w:sz w:val="32"/>
          <w:szCs w:val="32"/>
          <w:highlight w:val="none"/>
          <w:lang w:val="en-US" w:eastAsia="zh-CN"/>
        </w:rPr>
        <w:t>发挥校友企业资源优势助力学校产学研合作，与中国关药博物馆展开相关合作，邀请优秀校友出席学校2024级新生开学典礼并发言。联系发动省外校友，筹备省外校友会成立相关事宜。</w:t>
      </w:r>
    </w:p>
    <w:p w14:paraId="1FE9A1C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u w:val="none"/>
          <w:lang w:val="en-US"/>
        </w:rPr>
        <w:t>四、强化科技创新引领，提升服务地方经济社会发展能力</w:t>
      </w:r>
    </w:p>
    <w:p w14:paraId="75AF8CD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eastAsia="楷体" w:cs="Times New Roman"/>
          <w:color w:val="auto"/>
          <w:sz w:val="32"/>
          <w:szCs w:val="32"/>
          <w:highlight w:val="none"/>
          <w:u w:val="none"/>
          <w:lang w:val="en-US" w:eastAsia="zh-CN"/>
        </w:rPr>
        <w:t>32</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强化科技创新引领。（科研处，高等教育研究所，各教学单位，直属科研平台）</w:t>
      </w:r>
      <w:r>
        <w:rPr>
          <w:rFonts w:hint="eastAsia" w:ascii="仿宋_GB2312" w:hAnsi="仿宋_GB2312" w:eastAsia="仿宋_GB2312" w:cs="仿宋_GB2312"/>
          <w:i w:val="0"/>
          <w:iCs w:val="0"/>
          <w:color w:val="auto"/>
          <w:sz w:val="32"/>
          <w:szCs w:val="32"/>
          <w:highlight w:val="none"/>
          <w:lang w:val="en-US" w:eastAsia="zh-CN"/>
        </w:rPr>
        <w:t>调整科研机构，组织申报各级各类科研项目6项。举办“学术大讲堂（第一期）”第一讲活动，举办学术论坛3场。完成2024年吉林省高教科研立项课题开题系列工作46项、2024年度吉林省职业教育与成人教育教学改革研究课题开题工作4项。</w:t>
      </w:r>
    </w:p>
    <w:p w14:paraId="1C180B4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8"/>
          <w:sz w:val="32"/>
          <w:szCs w:val="32"/>
          <w:lang w:val="en-US" w:eastAsia="zh-CN" w:bidi="ar-SA"/>
        </w:rPr>
        <w:t>33.</w:t>
      </w:r>
      <w:r>
        <w:rPr>
          <w:rFonts w:hint="default" w:eastAsia="楷体" w:cs="Times New Roman"/>
          <w:color w:val="auto"/>
          <w:sz w:val="32"/>
          <w:szCs w:val="32"/>
          <w:highlight w:val="none"/>
          <w:u w:val="none"/>
          <w:lang w:val="en-US" w:eastAsia="zh-CN"/>
        </w:rPr>
        <w:t>服务地方经济社会发展</w:t>
      </w:r>
      <w:r>
        <w:rPr>
          <w:rFonts w:hint="eastAsia" w:eastAsia="楷体" w:cs="Times New Roman"/>
          <w:color w:val="auto"/>
          <w:sz w:val="32"/>
          <w:szCs w:val="32"/>
          <w:highlight w:val="none"/>
          <w:u w:val="none"/>
          <w:lang w:val="en-US" w:eastAsia="zh-CN"/>
        </w:rPr>
        <w:t>。</w:t>
      </w:r>
      <w:r>
        <w:rPr>
          <w:rFonts w:hint="eastAsia" w:ascii="Times New Roman" w:hAnsi="Times New Roman" w:eastAsia="楷体" w:cs="Times New Roman"/>
          <w:color w:val="auto"/>
          <w:sz w:val="32"/>
          <w:szCs w:val="32"/>
          <w:highlight w:val="none"/>
          <w:u w:val="none"/>
          <w:lang w:val="en-US" w:eastAsia="zh-CN"/>
        </w:rPr>
        <w:t>（科研处、教务处、各教学单位、直属科研单位、科研平台</w:t>
      </w:r>
      <w:bookmarkStart w:id="0" w:name="_GoBack"/>
      <w:r>
        <w:rPr>
          <w:rFonts w:hint="eastAsia" w:ascii="仿宋_GB2312" w:hAnsi="仿宋_GB2312" w:eastAsia="仿宋_GB2312" w:cs="仿宋_GB2312"/>
          <w:i w:val="0"/>
          <w:iCs w:val="0"/>
          <w:color w:val="auto"/>
          <w:sz w:val="32"/>
          <w:szCs w:val="32"/>
          <w:highlight w:val="none"/>
          <w:lang w:val="en-US" w:eastAsia="zh-CN"/>
        </w:rPr>
        <w:t>）研究报告《加快形成新质生产力增强吉林省经济发展新动能的建议》《做优做强玉米主食产业 擦亮吉林“黄金名片”--我省玉米主食产业发展情况调查及对策建议》《扩大玉米主食加工产业规模，让“中国饭碗”更多装“吉林玉米主食”》分获省委书记、省委副书记和副省长肯定性批示。</w:t>
      </w:r>
      <w:r>
        <w:rPr>
          <w:rFonts w:hint="eastAsia" w:ascii="仿宋_GB2312" w:hAnsi="仿宋_GB2312" w:eastAsia="仿宋_GB2312" w:cs="仿宋_GB2312"/>
          <w:i w:val="0"/>
          <w:iCs w:val="0"/>
          <w:color w:val="auto"/>
          <w:sz w:val="32"/>
          <w:szCs w:val="32"/>
          <w:highlight w:val="none"/>
          <w:lang w:val="en-US" w:eastAsia="zh-CN"/>
        </w:rPr>
        <w:t>组织长春市九台区人民政府与学校教师就“两图四表一册</w:t>
      </w:r>
      <w:bookmarkEnd w:id="0"/>
      <w:r>
        <w:rPr>
          <w:rFonts w:hint="eastAsia" w:ascii="仿宋_GB2312" w:hAnsi="仿宋_GB2312" w:eastAsia="仿宋_GB2312" w:cs="仿宋_GB2312"/>
          <w:i w:val="0"/>
          <w:iCs w:val="0"/>
          <w:color w:val="auto"/>
          <w:sz w:val="32"/>
          <w:szCs w:val="32"/>
          <w:highlight w:val="none"/>
          <w:lang w:val="en-US" w:eastAsia="zh-CN"/>
        </w:rPr>
        <w:t>”项目召开推进会4次，主办《中国吉菜大典》发布暨全国烹饪大师进校园活动启动仪式及全国烹饪大师进校园活动主题讲座，主办“吉林省区域饮食文化助力地方经济高质量发展研讨会（白山站）。筹备设计“2024年世界粮食日和全国粮食安全宣传周”活动方案，派出粮食学院教师参加“第五届中国吉林鲜食玉米产业大会”。</w:t>
      </w:r>
    </w:p>
    <w:p w14:paraId="34E4A2B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8"/>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rPr>
        <w:t>五、坚持人民至上，提升民生福祉水平</w:t>
      </w:r>
    </w:p>
    <w:p w14:paraId="2EF5C44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rPr>
        <w:t>3</w:t>
      </w:r>
      <w:r>
        <w:rPr>
          <w:rFonts w:hint="eastAsia" w:eastAsia="楷体" w:cs="Times New Roman"/>
          <w:color w:val="auto"/>
          <w:sz w:val="32"/>
          <w:szCs w:val="32"/>
          <w:highlight w:val="none"/>
          <w:lang w:val="en-US" w:eastAsia="zh-CN"/>
        </w:rPr>
        <w:t>4</w:t>
      </w:r>
      <w:r>
        <w:rPr>
          <w:rFonts w:hint="default" w:ascii="Times New Roman" w:hAnsi="Times New Roman" w:eastAsia="楷体" w:cs="Times New Roman"/>
          <w:color w:val="auto"/>
          <w:sz w:val="32"/>
          <w:szCs w:val="32"/>
          <w:highlight w:val="none"/>
          <w:lang w:val="en-US"/>
        </w:rPr>
        <w:t>.做好职工暖心服务。（工会、妇委会，人力资源处，离退休工作处）</w:t>
      </w:r>
      <w:r>
        <w:rPr>
          <w:rFonts w:hint="eastAsia" w:ascii="仿宋_GB2312" w:hAnsi="仿宋_GB2312" w:eastAsia="仿宋_GB2312" w:cs="仿宋_GB2312"/>
          <w:i w:val="0"/>
          <w:iCs w:val="0"/>
          <w:color w:val="auto"/>
          <w:sz w:val="32"/>
          <w:szCs w:val="32"/>
          <w:highlight w:val="none"/>
          <w:lang w:val="en-US" w:eastAsia="zh-CN"/>
        </w:rPr>
        <w:t>完成本年度教职工体检项目招标。上报《省属高校校内绩效（2014-2018年）缴费工资基数有关明细（单位及人员总表）》，完成2014年10月至2020年12月个人绩效工资核实汇总工作，形成有关报告，制作社保费清缴通知单，发放离休人员护理费。开展2024年年度工人技术等级岗位考核申报工作。根据相关通知，申报高定1薪级人员。组织召开吉林工商学院青年骨干教师座谈会。完成了2024年退休教师体检招标。</w:t>
      </w:r>
    </w:p>
    <w:p w14:paraId="3266FA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rPr>
        <w:t>3</w:t>
      </w:r>
      <w:r>
        <w:rPr>
          <w:rFonts w:hint="eastAsia"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rPr>
        <w:t>.</w:t>
      </w:r>
      <w:r>
        <w:rPr>
          <w:rFonts w:hint="default" w:ascii="Times New Roman" w:hAnsi="Times New Roman" w:eastAsia="楷体" w:cs="Times New Roman"/>
          <w:color w:val="auto"/>
          <w:sz w:val="32"/>
          <w:szCs w:val="32"/>
          <w:highlight w:val="none"/>
          <w:lang w:val="en-US"/>
        </w:rPr>
        <w:t>推动学校迁建遗留问题解决。</w:t>
      </w:r>
      <w:r>
        <w:rPr>
          <w:rFonts w:hint="default" w:ascii="Times New Roman" w:hAnsi="Times New Roman" w:eastAsia="楷体" w:cs="Times New Roman"/>
          <w:color w:val="auto"/>
          <w:sz w:val="32"/>
          <w:szCs w:val="32"/>
          <w:highlight w:val="none"/>
          <w:u w:val="none"/>
          <w:lang w:val="en-US"/>
        </w:rPr>
        <w:t>（推进教职工住宅遗留问题解决领导小组，校区资产处置领导小组）</w:t>
      </w:r>
      <w:r>
        <w:rPr>
          <w:rFonts w:hint="eastAsia" w:ascii="仿宋_GB2312" w:hAnsi="仿宋_GB2312" w:eastAsia="仿宋_GB2312" w:cs="仿宋_GB2312"/>
          <w:i w:val="0"/>
          <w:iCs w:val="0"/>
          <w:color w:val="auto"/>
          <w:sz w:val="32"/>
          <w:szCs w:val="32"/>
          <w:highlight w:val="none"/>
          <w:lang w:val="en-US" w:eastAsia="zh-CN"/>
        </w:rPr>
        <w:t>职工住宅遗留问题解决领导小组办公室成员约见开发商，形成开发商、物业和校方三方合力，未办理登记住户沟通联系，督促加快到开发商处办理登记手续，联系燃气公司对外管网占压整改开挖部位尽快进行回复，拟与燃气公司商讨剩余小高层住户燃起开通事宜。</w:t>
      </w:r>
    </w:p>
    <w:p w14:paraId="2ADDF83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楷体" w:cs="楷体"/>
          <w:color w:val="auto"/>
          <w:sz w:val="32"/>
          <w:highlight w:val="none"/>
          <w:lang w:val="en-US" w:eastAsia="zh-CN"/>
        </w:rPr>
        <w:t>3</w:t>
      </w:r>
      <w:r>
        <w:rPr>
          <w:rFonts w:hint="eastAsia" w:eastAsia="楷体" w:cs="楷体"/>
          <w:color w:val="auto"/>
          <w:sz w:val="32"/>
          <w:highlight w:val="none"/>
          <w:lang w:val="en-US" w:eastAsia="zh-CN"/>
        </w:rPr>
        <w:t>6</w:t>
      </w:r>
      <w:r>
        <w:rPr>
          <w:rFonts w:hint="eastAsia" w:ascii="Times New Roman" w:hAnsi="Times New Roman" w:eastAsia="楷体" w:cs="楷体"/>
          <w:color w:val="auto"/>
          <w:sz w:val="32"/>
          <w:highlight w:val="none"/>
          <w:lang w:val="en-US" w:eastAsia="zh-CN"/>
        </w:rPr>
        <w:t>.</w:t>
      </w:r>
      <w:r>
        <w:rPr>
          <w:rFonts w:hint="eastAsia" w:eastAsia="楷体" w:cs="楷体"/>
          <w:color w:val="auto"/>
          <w:sz w:val="32"/>
          <w:highlight w:val="none"/>
          <w:lang w:val="en-US" w:eastAsia="zh-CN"/>
        </w:rPr>
        <w:t>强化跟踪问效。（党委办公室、校长办公室）</w:t>
      </w:r>
      <w:r>
        <w:rPr>
          <w:rFonts w:hint="eastAsia" w:ascii="仿宋_GB2312" w:hAnsi="仿宋_GB2312" w:eastAsia="仿宋_GB2312" w:cs="仿宋_GB2312"/>
          <w:i w:val="0"/>
          <w:iCs w:val="0"/>
          <w:color w:val="auto"/>
          <w:sz w:val="32"/>
          <w:szCs w:val="32"/>
          <w:highlight w:val="none"/>
          <w:lang w:val="en-US" w:eastAsia="zh-CN"/>
        </w:rPr>
        <w:t>党委办公室、校长办公室坚持每月调度制度，9月末向</w:t>
      </w:r>
      <w:r>
        <w:rPr>
          <w:rFonts w:hint="eastAsia" w:ascii="仿宋_GB2312" w:hAnsi="仿宋_GB2312" w:eastAsia="仿宋_GB2312" w:cs="仿宋_GB2312"/>
          <w:color w:val="auto"/>
          <w:sz w:val="32"/>
          <w:szCs w:val="32"/>
          <w:highlight w:val="none"/>
          <w:lang w:val="en-US" w:eastAsia="zh-CN"/>
        </w:rPr>
        <w:t>36项具体工作任务的责任部门发布了要点落实情况督查督办通知，调度相关工作进展情况，目前已完成9月份重点工作督查落实</w:t>
      </w:r>
      <w:r>
        <w:rPr>
          <w:rFonts w:hint="eastAsia" w:ascii="仿宋_GB2312" w:hAnsi="仿宋_GB2312" w:eastAsia="仿宋_GB2312" w:cs="仿宋_GB2312"/>
          <w:i w:val="0"/>
          <w:iCs w:val="0"/>
          <w:color w:val="auto"/>
          <w:sz w:val="32"/>
          <w:szCs w:val="32"/>
          <w:highlight w:val="none"/>
          <w:lang w:val="en-US" w:eastAsia="zh-CN"/>
        </w:rPr>
        <w:t>工作。</w:t>
      </w:r>
    </w:p>
    <w:p w14:paraId="04E5CA50">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color w:val="auto"/>
          <w:highlight w:val="none"/>
          <w:lang w:val="en-US"/>
        </w:rPr>
      </w:pPr>
      <w:r>
        <w:rPr>
          <w:rFonts w:hint="eastAsia" w:ascii="仿宋_GB2312" w:hAnsi="仿宋_GB2312" w:eastAsia="仿宋_GB2312" w:cs="仿宋_GB2312"/>
          <w:i w:val="0"/>
          <w:iCs w:val="0"/>
          <w:color w:val="auto"/>
          <w:sz w:val="32"/>
          <w:szCs w:val="32"/>
          <w:highlight w:val="none"/>
          <w:lang w:val="en-US" w:eastAsia="zh-CN"/>
        </w:rPr>
        <w:t xml:space="preserve">                                      </w:t>
      </w:r>
      <w:r>
        <w:rPr>
          <w:rFonts w:hint="eastAsia" w:eastAsia="仿宋_GB2312"/>
          <w:i w:val="0"/>
          <w:iCs w:val="0"/>
          <w:color w:val="auto"/>
          <w:sz w:val="32"/>
          <w:highlight w:val="none"/>
          <w:lang w:val="en-US" w:eastAsia="zh-CN"/>
        </w:rPr>
        <w:t xml:space="preserve">                                                                                                                                                                                                                                                                                                                                                                                                                                                                                                                                                                                                                                                                                                                                                                                                                                                                                                                                                                                                                                                                                                                                                                                                                                                                                                                                                                                                                                                                                                                                                                                                                                                                                                                                                                                                                                                                                                                                                                                                                                                                                                                                                                                                                                                                                                                                                                                                                       </w:t>
      </w:r>
    </w:p>
    <w:sectPr>
      <w:headerReference r:id="rId3" w:type="default"/>
      <w:footerReference r:id="rId4" w:type="default"/>
      <w:pgSz w:w="11877" w:h="16781"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F806">
    <w:pPr>
      <w:pStyle w:val="4"/>
    </w:pPr>
    <w:r>
      <w:rPr>
        <w:rFonts w:ascii="Times New Roman" w:hAnsi="Times New Roman" w:eastAsia="宋体" w:cs="Times New Roman"/>
        <w:color w:val="000000"/>
        <w:kern w:val="28"/>
        <w:sz w:val="18"/>
        <w:szCs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5D89607">
                          <w:pPr>
                            <w:snapToGrid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2"/>
                              <w:szCs w:val="22"/>
                              <w:lang w:eastAsia="zh-CN"/>
                            </w:rPr>
                            <w:fldChar w:fldCharType="begin"/>
                          </w:r>
                          <w:r>
                            <w:rPr>
                              <w:rFonts w:hint="default" w:ascii="Times New Roman" w:hAnsi="Times New Roman" w:eastAsia="仿宋_GB2312" w:cs="Times New Roman"/>
                              <w:sz w:val="22"/>
                              <w:szCs w:val="22"/>
                              <w:lang w:eastAsia="zh-CN"/>
                            </w:rPr>
                            <w:instrText xml:space="preserve"> PAGE  \* MERGEFORMAT </w:instrText>
                          </w:r>
                          <w:r>
                            <w:rPr>
                              <w:rFonts w:hint="default" w:ascii="Times New Roman" w:hAnsi="Times New Roman" w:eastAsia="仿宋_GB2312" w:cs="Times New Roman"/>
                              <w:sz w:val="22"/>
                              <w:szCs w:val="22"/>
                              <w:lang w:eastAsia="zh-CN"/>
                            </w:rPr>
                            <w:fldChar w:fldCharType="separate"/>
                          </w:r>
                          <w:r>
                            <w:t>1</w:t>
                          </w:r>
                          <w:r>
                            <w:rPr>
                              <w:rFonts w:hint="default" w:ascii="Times New Roman" w:hAnsi="Times New Roman" w:eastAsia="仿宋_GB2312" w:cs="Times New Roman"/>
                              <w:sz w:val="22"/>
                              <w:szCs w:val="22"/>
                              <w:lang w:eastAsia="zh-CN"/>
                            </w:rPr>
                            <w:fldChar w:fldCharType="end"/>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3H+dXB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B3H+dXBAQAAjgMAAA4AAAAAAAAAAQAgAAAAHwEAAGRycy9lMm9Eb2MueG1sUEsF&#10;BgAAAAAGAAYAWQEAAFIFAAAAAA==&#10;">
              <v:fill on="f" focussize="0,0"/>
              <v:stroke on="f"/>
              <v:imagedata o:title=""/>
              <o:lock v:ext="edit" aspectratio="f"/>
              <v:textbox inset="0mm,0mm,0mm,0mm" style="mso-fit-shape-to-text:t;">
                <w:txbxContent>
                  <w:p w14:paraId="15D89607">
                    <w:pPr>
                      <w:snapToGrid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2"/>
                        <w:szCs w:val="22"/>
                        <w:lang w:eastAsia="zh-CN"/>
                      </w:rPr>
                      <w:fldChar w:fldCharType="begin"/>
                    </w:r>
                    <w:r>
                      <w:rPr>
                        <w:rFonts w:hint="default" w:ascii="Times New Roman" w:hAnsi="Times New Roman" w:eastAsia="仿宋_GB2312" w:cs="Times New Roman"/>
                        <w:sz w:val="22"/>
                        <w:szCs w:val="22"/>
                        <w:lang w:eastAsia="zh-CN"/>
                      </w:rPr>
                      <w:instrText xml:space="preserve"> PAGE  \* MERGEFORMAT </w:instrText>
                    </w:r>
                    <w:r>
                      <w:rPr>
                        <w:rFonts w:hint="default" w:ascii="Times New Roman" w:hAnsi="Times New Roman" w:eastAsia="仿宋_GB2312" w:cs="Times New Roman"/>
                        <w:sz w:val="22"/>
                        <w:szCs w:val="22"/>
                        <w:lang w:eastAsia="zh-CN"/>
                      </w:rPr>
                      <w:fldChar w:fldCharType="separate"/>
                    </w:r>
                    <w:r>
                      <w:t>1</w:t>
                    </w:r>
                    <w:r>
                      <w:rPr>
                        <w:rFonts w:hint="default" w:ascii="Times New Roman" w:hAnsi="Times New Roman" w:eastAsia="仿宋_GB2312" w:cs="Times New Roman"/>
                        <w:sz w:val="22"/>
                        <w:szCs w:val="22"/>
                        <w:lang w:eastAsia="zh-CN"/>
                      </w:rPr>
                      <w:fldChar w:fldCharType="end"/>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w:t>
                    </w:r>
                  </w:p>
                </w:txbxContent>
              </v:textbox>
            </v:rect>
          </w:pict>
        </mc:Fallback>
      </mc:AlternateContent>
    </w:r>
    <w:r>
      <w:rPr>
        <w:rFonts w:ascii="Times New Roman" w:hAnsi="Times New Roman" w:eastAsia="宋体" w:cs="Times New Roman"/>
        <w:color w:val="000000"/>
        <w:kern w:val="28"/>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矩形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549AD80">
                          <w:pPr>
                            <w:snapToGrid w:val="0"/>
                            <w:rPr>
                              <w:rFonts w:hint="default" w:ascii="Times New Roman" w:hAnsi="Times New Roman" w:eastAsia="宋体" w:cs="Times New Roman"/>
                              <w:sz w:val="21"/>
                              <w:szCs w:val="21"/>
                              <w:lang w:eastAsia="zh-CN"/>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yN2rBAQAAjg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OlyN2rBAQAAjgMAAA4AAAAAAAAAAQAgAAAAHwEAAGRycy9lMm9Eb2MueG1sUEsF&#10;BgAAAAAGAAYAWQEAAFIFAAAAAA==&#10;">
              <v:fill on="f" focussize="0,0"/>
              <v:stroke on="f"/>
              <v:imagedata o:title=""/>
              <o:lock v:ext="edit" aspectratio="f"/>
              <v:textbox inset="0mm,0mm,0mm,0mm" style="mso-fit-shape-to-text:t;">
                <w:txbxContent>
                  <w:p w14:paraId="1549AD80">
                    <w:pPr>
                      <w:snapToGrid w:val="0"/>
                      <w:rPr>
                        <w:rFonts w:hint="default" w:ascii="Times New Roman" w:hAnsi="Times New Roman" w:eastAsia="宋体" w:cs="Times New Roman"/>
                        <w:sz w:val="21"/>
                        <w:szCs w:val="21"/>
                        <w:lang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6A5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jIwOGNiNWRjYWZlZjI4NDAxMDY5Njc0NDc4ZTEifQ=="/>
  </w:docVars>
  <w:rsids>
    <w:rsidRoot w:val="00000000"/>
    <w:rsid w:val="00414D2B"/>
    <w:rsid w:val="00481283"/>
    <w:rsid w:val="006836D3"/>
    <w:rsid w:val="0069356E"/>
    <w:rsid w:val="007A6F63"/>
    <w:rsid w:val="008F577A"/>
    <w:rsid w:val="00BA7CA7"/>
    <w:rsid w:val="00C57E3B"/>
    <w:rsid w:val="00E84DEF"/>
    <w:rsid w:val="011E3D92"/>
    <w:rsid w:val="013A3FC1"/>
    <w:rsid w:val="01671BDD"/>
    <w:rsid w:val="01AD5116"/>
    <w:rsid w:val="01CE36E5"/>
    <w:rsid w:val="01F176F8"/>
    <w:rsid w:val="023C5046"/>
    <w:rsid w:val="02441F1E"/>
    <w:rsid w:val="0246755A"/>
    <w:rsid w:val="02B4314D"/>
    <w:rsid w:val="02C56AD9"/>
    <w:rsid w:val="02F54FC6"/>
    <w:rsid w:val="03555A65"/>
    <w:rsid w:val="038A1BB2"/>
    <w:rsid w:val="03AD764F"/>
    <w:rsid w:val="03B95FF4"/>
    <w:rsid w:val="03D177E1"/>
    <w:rsid w:val="03EA2651"/>
    <w:rsid w:val="03F434D0"/>
    <w:rsid w:val="040B651A"/>
    <w:rsid w:val="042E0225"/>
    <w:rsid w:val="04551D8E"/>
    <w:rsid w:val="04AC792F"/>
    <w:rsid w:val="04BA64C7"/>
    <w:rsid w:val="04E43544"/>
    <w:rsid w:val="050140F6"/>
    <w:rsid w:val="05123C0E"/>
    <w:rsid w:val="053A2A34"/>
    <w:rsid w:val="054D733B"/>
    <w:rsid w:val="05860BF8"/>
    <w:rsid w:val="059705B7"/>
    <w:rsid w:val="059B00A7"/>
    <w:rsid w:val="05B13426"/>
    <w:rsid w:val="05BB6053"/>
    <w:rsid w:val="05BE3D95"/>
    <w:rsid w:val="05C23886"/>
    <w:rsid w:val="05C56ED2"/>
    <w:rsid w:val="05EC26B0"/>
    <w:rsid w:val="06021ED4"/>
    <w:rsid w:val="066F6E3E"/>
    <w:rsid w:val="06730587"/>
    <w:rsid w:val="069A3EBB"/>
    <w:rsid w:val="069F0652"/>
    <w:rsid w:val="06A20FC1"/>
    <w:rsid w:val="06B37672"/>
    <w:rsid w:val="06BA630B"/>
    <w:rsid w:val="06E8188A"/>
    <w:rsid w:val="0780247E"/>
    <w:rsid w:val="07B611C8"/>
    <w:rsid w:val="07C35693"/>
    <w:rsid w:val="07FB1DD6"/>
    <w:rsid w:val="08071A24"/>
    <w:rsid w:val="08385335"/>
    <w:rsid w:val="086504F8"/>
    <w:rsid w:val="088564B2"/>
    <w:rsid w:val="08C568EA"/>
    <w:rsid w:val="08D321F3"/>
    <w:rsid w:val="09A00519"/>
    <w:rsid w:val="09AF6DD7"/>
    <w:rsid w:val="09D50A53"/>
    <w:rsid w:val="0A075F99"/>
    <w:rsid w:val="0A4C4ADA"/>
    <w:rsid w:val="0A8F5D00"/>
    <w:rsid w:val="0AB614DF"/>
    <w:rsid w:val="0AB807B9"/>
    <w:rsid w:val="0ABD286D"/>
    <w:rsid w:val="0ACC3F78"/>
    <w:rsid w:val="0AEC3562"/>
    <w:rsid w:val="0B0264D2"/>
    <w:rsid w:val="0B44732B"/>
    <w:rsid w:val="0B776EC0"/>
    <w:rsid w:val="0B792C38"/>
    <w:rsid w:val="0B955598"/>
    <w:rsid w:val="0BB940F2"/>
    <w:rsid w:val="0BBD52AE"/>
    <w:rsid w:val="0BCE79D3"/>
    <w:rsid w:val="0BD51E39"/>
    <w:rsid w:val="0C6B2155"/>
    <w:rsid w:val="0C930D9B"/>
    <w:rsid w:val="0CC0309C"/>
    <w:rsid w:val="0CC25F19"/>
    <w:rsid w:val="0CCC4FEA"/>
    <w:rsid w:val="0D4D4741"/>
    <w:rsid w:val="0D9B0B0E"/>
    <w:rsid w:val="0D9C510C"/>
    <w:rsid w:val="0DAE0C1E"/>
    <w:rsid w:val="0DCD2DC7"/>
    <w:rsid w:val="0DE10621"/>
    <w:rsid w:val="0E0F0484"/>
    <w:rsid w:val="0E0F1632"/>
    <w:rsid w:val="0E191DFB"/>
    <w:rsid w:val="0E455054"/>
    <w:rsid w:val="0E4D5CB6"/>
    <w:rsid w:val="0E56100F"/>
    <w:rsid w:val="0E7A127C"/>
    <w:rsid w:val="0E861DFE"/>
    <w:rsid w:val="0ECF0DC1"/>
    <w:rsid w:val="0F0942D3"/>
    <w:rsid w:val="0F2B249C"/>
    <w:rsid w:val="0F3D7A59"/>
    <w:rsid w:val="0F5D157F"/>
    <w:rsid w:val="0F855859"/>
    <w:rsid w:val="0F8648F6"/>
    <w:rsid w:val="0F9B0CA3"/>
    <w:rsid w:val="0FB46812"/>
    <w:rsid w:val="0FCE7E93"/>
    <w:rsid w:val="0FE374E6"/>
    <w:rsid w:val="105C17D3"/>
    <w:rsid w:val="10616C43"/>
    <w:rsid w:val="106D0892"/>
    <w:rsid w:val="10A73DA4"/>
    <w:rsid w:val="10EC5C5A"/>
    <w:rsid w:val="10F7603C"/>
    <w:rsid w:val="1122342A"/>
    <w:rsid w:val="11963E18"/>
    <w:rsid w:val="11AA7D00"/>
    <w:rsid w:val="11D00824"/>
    <w:rsid w:val="122338FE"/>
    <w:rsid w:val="124575E1"/>
    <w:rsid w:val="12900868"/>
    <w:rsid w:val="12D45319"/>
    <w:rsid w:val="12FB0941"/>
    <w:rsid w:val="13031917"/>
    <w:rsid w:val="133D09EF"/>
    <w:rsid w:val="136046DE"/>
    <w:rsid w:val="13634763"/>
    <w:rsid w:val="13871C6A"/>
    <w:rsid w:val="138C2FA9"/>
    <w:rsid w:val="13B87237"/>
    <w:rsid w:val="13CA3E08"/>
    <w:rsid w:val="141C379C"/>
    <w:rsid w:val="14604C12"/>
    <w:rsid w:val="147B234C"/>
    <w:rsid w:val="14A82665"/>
    <w:rsid w:val="14DD2331"/>
    <w:rsid w:val="150A15D9"/>
    <w:rsid w:val="152A0428"/>
    <w:rsid w:val="158E1C47"/>
    <w:rsid w:val="15A90E19"/>
    <w:rsid w:val="15DD0268"/>
    <w:rsid w:val="16551BAC"/>
    <w:rsid w:val="16895CFA"/>
    <w:rsid w:val="16AB1E30"/>
    <w:rsid w:val="16C17241"/>
    <w:rsid w:val="17465999"/>
    <w:rsid w:val="175E0F34"/>
    <w:rsid w:val="176536A7"/>
    <w:rsid w:val="1767428D"/>
    <w:rsid w:val="17935082"/>
    <w:rsid w:val="17984446"/>
    <w:rsid w:val="17C2355C"/>
    <w:rsid w:val="17C90AA4"/>
    <w:rsid w:val="17E4640D"/>
    <w:rsid w:val="17F3249E"/>
    <w:rsid w:val="18375738"/>
    <w:rsid w:val="184A3267"/>
    <w:rsid w:val="185A6600"/>
    <w:rsid w:val="18754787"/>
    <w:rsid w:val="18910E95"/>
    <w:rsid w:val="18A94431"/>
    <w:rsid w:val="18AB01A9"/>
    <w:rsid w:val="18BA663E"/>
    <w:rsid w:val="18C43019"/>
    <w:rsid w:val="194F2CB8"/>
    <w:rsid w:val="197E58BE"/>
    <w:rsid w:val="19873340"/>
    <w:rsid w:val="198F0DB0"/>
    <w:rsid w:val="19CF1C75"/>
    <w:rsid w:val="19CF4AA6"/>
    <w:rsid w:val="1A0C2EC9"/>
    <w:rsid w:val="1AA51486"/>
    <w:rsid w:val="1AAB4490"/>
    <w:rsid w:val="1ABB0ABF"/>
    <w:rsid w:val="1AD31D10"/>
    <w:rsid w:val="1AFC6A9A"/>
    <w:rsid w:val="1AFD6516"/>
    <w:rsid w:val="1B317DE4"/>
    <w:rsid w:val="1B46065D"/>
    <w:rsid w:val="1B925650"/>
    <w:rsid w:val="1BBE036A"/>
    <w:rsid w:val="1BBE4697"/>
    <w:rsid w:val="1BBE7142"/>
    <w:rsid w:val="1BD34FD9"/>
    <w:rsid w:val="1BEA2D97"/>
    <w:rsid w:val="1C4C3AFB"/>
    <w:rsid w:val="1C7A236C"/>
    <w:rsid w:val="1CBC1555"/>
    <w:rsid w:val="1CE50760"/>
    <w:rsid w:val="1CFD01C3"/>
    <w:rsid w:val="1D085BCA"/>
    <w:rsid w:val="1D61352C"/>
    <w:rsid w:val="1D644DCB"/>
    <w:rsid w:val="1DB60B50"/>
    <w:rsid w:val="1DB7139E"/>
    <w:rsid w:val="1E2F7187"/>
    <w:rsid w:val="1E796654"/>
    <w:rsid w:val="1F6C45AE"/>
    <w:rsid w:val="1F751511"/>
    <w:rsid w:val="1F8B663F"/>
    <w:rsid w:val="1F9C6A9E"/>
    <w:rsid w:val="1FA92F69"/>
    <w:rsid w:val="1FA94D17"/>
    <w:rsid w:val="1FAD2A59"/>
    <w:rsid w:val="1FBC0EEE"/>
    <w:rsid w:val="1FBF0FF0"/>
    <w:rsid w:val="202645B9"/>
    <w:rsid w:val="202F337B"/>
    <w:rsid w:val="205355C4"/>
    <w:rsid w:val="205C2751"/>
    <w:rsid w:val="208A2D9A"/>
    <w:rsid w:val="20AA4897"/>
    <w:rsid w:val="20C73087"/>
    <w:rsid w:val="20C95353"/>
    <w:rsid w:val="21015F40"/>
    <w:rsid w:val="21B761EC"/>
    <w:rsid w:val="21BF3B5D"/>
    <w:rsid w:val="21F30E8E"/>
    <w:rsid w:val="21FB5314"/>
    <w:rsid w:val="22111D7D"/>
    <w:rsid w:val="22146DBF"/>
    <w:rsid w:val="223204D3"/>
    <w:rsid w:val="224376A4"/>
    <w:rsid w:val="225D289A"/>
    <w:rsid w:val="22903F40"/>
    <w:rsid w:val="22AC524A"/>
    <w:rsid w:val="22D12F02"/>
    <w:rsid w:val="23181056"/>
    <w:rsid w:val="23350CBF"/>
    <w:rsid w:val="23751C8D"/>
    <w:rsid w:val="238C5A4D"/>
    <w:rsid w:val="239A1546"/>
    <w:rsid w:val="23B26890"/>
    <w:rsid w:val="243A17FF"/>
    <w:rsid w:val="24480FA2"/>
    <w:rsid w:val="246F263F"/>
    <w:rsid w:val="247022A7"/>
    <w:rsid w:val="24A87C93"/>
    <w:rsid w:val="24D53732"/>
    <w:rsid w:val="24D932CD"/>
    <w:rsid w:val="24E76A0D"/>
    <w:rsid w:val="25076767"/>
    <w:rsid w:val="253A4D8F"/>
    <w:rsid w:val="2550492B"/>
    <w:rsid w:val="25665B84"/>
    <w:rsid w:val="25A62424"/>
    <w:rsid w:val="25B85CB3"/>
    <w:rsid w:val="260D07F6"/>
    <w:rsid w:val="26433E78"/>
    <w:rsid w:val="265754CC"/>
    <w:rsid w:val="2698483D"/>
    <w:rsid w:val="26AB5818"/>
    <w:rsid w:val="26D703BB"/>
    <w:rsid w:val="27007912"/>
    <w:rsid w:val="27311B93"/>
    <w:rsid w:val="273A72C8"/>
    <w:rsid w:val="279544FE"/>
    <w:rsid w:val="27DE70AE"/>
    <w:rsid w:val="27E2526A"/>
    <w:rsid w:val="28072688"/>
    <w:rsid w:val="28D472A8"/>
    <w:rsid w:val="28D64DCE"/>
    <w:rsid w:val="28D76D98"/>
    <w:rsid w:val="28FE4325"/>
    <w:rsid w:val="290851A4"/>
    <w:rsid w:val="296D233C"/>
    <w:rsid w:val="29C42A2C"/>
    <w:rsid w:val="29EE6148"/>
    <w:rsid w:val="2A047719"/>
    <w:rsid w:val="2A50295E"/>
    <w:rsid w:val="2A77613D"/>
    <w:rsid w:val="2A9211C9"/>
    <w:rsid w:val="2AA607D0"/>
    <w:rsid w:val="2AAA1F8B"/>
    <w:rsid w:val="2ABE1FBE"/>
    <w:rsid w:val="2AD90BA6"/>
    <w:rsid w:val="2B6C5576"/>
    <w:rsid w:val="2B8A0DEE"/>
    <w:rsid w:val="2BE45A54"/>
    <w:rsid w:val="2BE912BD"/>
    <w:rsid w:val="2C0E2AD1"/>
    <w:rsid w:val="2C2B3683"/>
    <w:rsid w:val="2CBE4B9B"/>
    <w:rsid w:val="2CC82C80"/>
    <w:rsid w:val="2CD558A9"/>
    <w:rsid w:val="2CE00300"/>
    <w:rsid w:val="2CF90116"/>
    <w:rsid w:val="2D297497"/>
    <w:rsid w:val="2D594220"/>
    <w:rsid w:val="2D875FEB"/>
    <w:rsid w:val="2D97686A"/>
    <w:rsid w:val="2E1C0F0B"/>
    <w:rsid w:val="2E9F2106"/>
    <w:rsid w:val="2ECD53B0"/>
    <w:rsid w:val="2EDA313F"/>
    <w:rsid w:val="2EDB16BE"/>
    <w:rsid w:val="2EFA10EB"/>
    <w:rsid w:val="2F176141"/>
    <w:rsid w:val="2F230642"/>
    <w:rsid w:val="2F37233F"/>
    <w:rsid w:val="2F4A2072"/>
    <w:rsid w:val="2F5C7FF7"/>
    <w:rsid w:val="2F657F49"/>
    <w:rsid w:val="2F794705"/>
    <w:rsid w:val="2F866E22"/>
    <w:rsid w:val="2FC8743B"/>
    <w:rsid w:val="2FE130A0"/>
    <w:rsid w:val="2FE35FB3"/>
    <w:rsid w:val="3025488D"/>
    <w:rsid w:val="30432D22"/>
    <w:rsid w:val="30544CD1"/>
    <w:rsid w:val="30616C7B"/>
    <w:rsid w:val="307D0225"/>
    <w:rsid w:val="30801AC4"/>
    <w:rsid w:val="3091782D"/>
    <w:rsid w:val="30A07E54"/>
    <w:rsid w:val="30B359F5"/>
    <w:rsid w:val="30E043B4"/>
    <w:rsid w:val="30F304E8"/>
    <w:rsid w:val="31270645"/>
    <w:rsid w:val="31BE3045"/>
    <w:rsid w:val="31CB1CA1"/>
    <w:rsid w:val="31CF55C7"/>
    <w:rsid w:val="31D245A1"/>
    <w:rsid w:val="31EF0511"/>
    <w:rsid w:val="32062CBD"/>
    <w:rsid w:val="3227669B"/>
    <w:rsid w:val="327E12E9"/>
    <w:rsid w:val="328D4B00"/>
    <w:rsid w:val="32943604"/>
    <w:rsid w:val="32D06D32"/>
    <w:rsid w:val="32E225C2"/>
    <w:rsid w:val="32F43417"/>
    <w:rsid w:val="32F80037"/>
    <w:rsid w:val="33890C8F"/>
    <w:rsid w:val="33A61841"/>
    <w:rsid w:val="33B91574"/>
    <w:rsid w:val="33D01C52"/>
    <w:rsid w:val="33D15C38"/>
    <w:rsid w:val="33D60378"/>
    <w:rsid w:val="33EA5BD2"/>
    <w:rsid w:val="33ED1082"/>
    <w:rsid w:val="33EF57A3"/>
    <w:rsid w:val="341964B7"/>
    <w:rsid w:val="341E1D1F"/>
    <w:rsid w:val="343D21A6"/>
    <w:rsid w:val="346911EC"/>
    <w:rsid w:val="347436ED"/>
    <w:rsid w:val="3491159B"/>
    <w:rsid w:val="34B1049E"/>
    <w:rsid w:val="34DD1522"/>
    <w:rsid w:val="34E30954"/>
    <w:rsid w:val="34E36F2C"/>
    <w:rsid w:val="35146474"/>
    <w:rsid w:val="352073D1"/>
    <w:rsid w:val="35335357"/>
    <w:rsid w:val="354E3F3E"/>
    <w:rsid w:val="35507CB7"/>
    <w:rsid w:val="355C08F1"/>
    <w:rsid w:val="355F5BD4"/>
    <w:rsid w:val="35BF4E3C"/>
    <w:rsid w:val="35C80195"/>
    <w:rsid w:val="35FC1737"/>
    <w:rsid w:val="36310308"/>
    <w:rsid w:val="364A2BA9"/>
    <w:rsid w:val="366C4FC4"/>
    <w:rsid w:val="368806F5"/>
    <w:rsid w:val="36D05553"/>
    <w:rsid w:val="36DD0796"/>
    <w:rsid w:val="36DE4BAE"/>
    <w:rsid w:val="36EB413B"/>
    <w:rsid w:val="36F6663C"/>
    <w:rsid w:val="373C39F1"/>
    <w:rsid w:val="37490E61"/>
    <w:rsid w:val="375D66BB"/>
    <w:rsid w:val="37BA58BB"/>
    <w:rsid w:val="382F44FB"/>
    <w:rsid w:val="38325D99"/>
    <w:rsid w:val="386D4BCC"/>
    <w:rsid w:val="38771CDA"/>
    <w:rsid w:val="38AC78FA"/>
    <w:rsid w:val="38AE3672"/>
    <w:rsid w:val="38D74A15"/>
    <w:rsid w:val="39180AEB"/>
    <w:rsid w:val="3938118D"/>
    <w:rsid w:val="393D4243"/>
    <w:rsid w:val="39461AFC"/>
    <w:rsid w:val="39A1679C"/>
    <w:rsid w:val="39C173D5"/>
    <w:rsid w:val="39E8047E"/>
    <w:rsid w:val="39F257E0"/>
    <w:rsid w:val="39F82591"/>
    <w:rsid w:val="3A0B4AF4"/>
    <w:rsid w:val="3A323597"/>
    <w:rsid w:val="3A362890"/>
    <w:rsid w:val="3A483652"/>
    <w:rsid w:val="3A6569E7"/>
    <w:rsid w:val="3A687850"/>
    <w:rsid w:val="3A870D32"/>
    <w:rsid w:val="3A9B7E58"/>
    <w:rsid w:val="3AE74C19"/>
    <w:rsid w:val="3AF17846"/>
    <w:rsid w:val="3B2961D5"/>
    <w:rsid w:val="3B4E4C98"/>
    <w:rsid w:val="3B5B3817"/>
    <w:rsid w:val="3B885B5D"/>
    <w:rsid w:val="3C2E0626"/>
    <w:rsid w:val="3C936A65"/>
    <w:rsid w:val="3CA52FDE"/>
    <w:rsid w:val="3CC94213"/>
    <w:rsid w:val="3D230FA9"/>
    <w:rsid w:val="3D3810A9"/>
    <w:rsid w:val="3D7C2FCD"/>
    <w:rsid w:val="3DCE20C0"/>
    <w:rsid w:val="3DD07BE6"/>
    <w:rsid w:val="3DE72C23"/>
    <w:rsid w:val="3E067AAC"/>
    <w:rsid w:val="3E23065E"/>
    <w:rsid w:val="3E3363C7"/>
    <w:rsid w:val="3E7C7D6E"/>
    <w:rsid w:val="3E85159F"/>
    <w:rsid w:val="3E9A1FA2"/>
    <w:rsid w:val="3E9E292D"/>
    <w:rsid w:val="3EB017C6"/>
    <w:rsid w:val="3ECF3E9B"/>
    <w:rsid w:val="3EDD146C"/>
    <w:rsid w:val="3F165ACD"/>
    <w:rsid w:val="3F47037C"/>
    <w:rsid w:val="3F6E66F9"/>
    <w:rsid w:val="3F6F2CA4"/>
    <w:rsid w:val="3FAC4683"/>
    <w:rsid w:val="3FFA719D"/>
    <w:rsid w:val="40242B4C"/>
    <w:rsid w:val="402D5F84"/>
    <w:rsid w:val="406377FC"/>
    <w:rsid w:val="407F76A2"/>
    <w:rsid w:val="40BB2DD0"/>
    <w:rsid w:val="40C12815"/>
    <w:rsid w:val="410B53D9"/>
    <w:rsid w:val="41160006"/>
    <w:rsid w:val="412F2E76"/>
    <w:rsid w:val="41A168AA"/>
    <w:rsid w:val="41A5138A"/>
    <w:rsid w:val="41AE5389"/>
    <w:rsid w:val="41EE0475"/>
    <w:rsid w:val="4214206C"/>
    <w:rsid w:val="421E223B"/>
    <w:rsid w:val="423F725F"/>
    <w:rsid w:val="425E5AC2"/>
    <w:rsid w:val="427B1CE3"/>
    <w:rsid w:val="427E2307"/>
    <w:rsid w:val="42C6780A"/>
    <w:rsid w:val="42CB3072"/>
    <w:rsid w:val="42CC0911"/>
    <w:rsid w:val="42D55C9F"/>
    <w:rsid w:val="43014CE6"/>
    <w:rsid w:val="43193B59"/>
    <w:rsid w:val="433713FC"/>
    <w:rsid w:val="43416227"/>
    <w:rsid w:val="437468EE"/>
    <w:rsid w:val="43CD4BC8"/>
    <w:rsid w:val="43DD4E0B"/>
    <w:rsid w:val="43F3462F"/>
    <w:rsid w:val="447C02FC"/>
    <w:rsid w:val="44801914"/>
    <w:rsid w:val="449374DF"/>
    <w:rsid w:val="44AE0490"/>
    <w:rsid w:val="44CE6E4A"/>
    <w:rsid w:val="44F30C3C"/>
    <w:rsid w:val="450308A1"/>
    <w:rsid w:val="45266E38"/>
    <w:rsid w:val="45303661"/>
    <w:rsid w:val="45596713"/>
    <w:rsid w:val="456B28EB"/>
    <w:rsid w:val="45E96AEC"/>
    <w:rsid w:val="45EA380F"/>
    <w:rsid w:val="46035B78"/>
    <w:rsid w:val="46143D97"/>
    <w:rsid w:val="46223350"/>
    <w:rsid w:val="464253F9"/>
    <w:rsid w:val="46674E60"/>
    <w:rsid w:val="467216A2"/>
    <w:rsid w:val="4697216A"/>
    <w:rsid w:val="4698770F"/>
    <w:rsid w:val="472913F7"/>
    <w:rsid w:val="4729480B"/>
    <w:rsid w:val="4783425B"/>
    <w:rsid w:val="48B1532F"/>
    <w:rsid w:val="48C447EC"/>
    <w:rsid w:val="49103370"/>
    <w:rsid w:val="492359B6"/>
    <w:rsid w:val="492434DC"/>
    <w:rsid w:val="492E435B"/>
    <w:rsid w:val="49310F9E"/>
    <w:rsid w:val="49331971"/>
    <w:rsid w:val="493A595F"/>
    <w:rsid w:val="493F3E72"/>
    <w:rsid w:val="49895E52"/>
    <w:rsid w:val="4A3A079C"/>
    <w:rsid w:val="4A871F75"/>
    <w:rsid w:val="4A963F66"/>
    <w:rsid w:val="4ACB00B3"/>
    <w:rsid w:val="4B314C4B"/>
    <w:rsid w:val="4B3C2ACB"/>
    <w:rsid w:val="4B3F2946"/>
    <w:rsid w:val="4B494797"/>
    <w:rsid w:val="4B7755EC"/>
    <w:rsid w:val="4B986A12"/>
    <w:rsid w:val="4BA83F51"/>
    <w:rsid w:val="4BAF1783"/>
    <w:rsid w:val="4BD33066"/>
    <w:rsid w:val="4BD57D70"/>
    <w:rsid w:val="4BEE392E"/>
    <w:rsid w:val="4C7A4117"/>
    <w:rsid w:val="4CB608EF"/>
    <w:rsid w:val="4CCA7EF7"/>
    <w:rsid w:val="4D1473C4"/>
    <w:rsid w:val="4D1F3E9C"/>
    <w:rsid w:val="4D5A6357"/>
    <w:rsid w:val="4D785BA5"/>
    <w:rsid w:val="4DAE15C6"/>
    <w:rsid w:val="4DF06083"/>
    <w:rsid w:val="4E0F6509"/>
    <w:rsid w:val="4E964534"/>
    <w:rsid w:val="4ED25AA9"/>
    <w:rsid w:val="4EE01C53"/>
    <w:rsid w:val="4EE97D4C"/>
    <w:rsid w:val="4F05790C"/>
    <w:rsid w:val="4F3A2205"/>
    <w:rsid w:val="4F3D2C02"/>
    <w:rsid w:val="4F42646A"/>
    <w:rsid w:val="4F824AB9"/>
    <w:rsid w:val="4F9842DC"/>
    <w:rsid w:val="4FB7572D"/>
    <w:rsid w:val="4FBA06F6"/>
    <w:rsid w:val="500C502F"/>
    <w:rsid w:val="50281B04"/>
    <w:rsid w:val="50345083"/>
    <w:rsid w:val="50650662"/>
    <w:rsid w:val="506568B4"/>
    <w:rsid w:val="50806691"/>
    <w:rsid w:val="51110A96"/>
    <w:rsid w:val="511E4CB5"/>
    <w:rsid w:val="512E314A"/>
    <w:rsid w:val="517E54A5"/>
    <w:rsid w:val="5184744F"/>
    <w:rsid w:val="51C2055B"/>
    <w:rsid w:val="51D75590"/>
    <w:rsid w:val="51DB66D7"/>
    <w:rsid w:val="521E31BF"/>
    <w:rsid w:val="52825A68"/>
    <w:rsid w:val="528E088E"/>
    <w:rsid w:val="52A66D10"/>
    <w:rsid w:val="52BB5860"/>
    <w:rsid w:val="533B4C16"/>
    <w:rsid w:val="536B47B1"/>
    <w:rsid w:val="53C4111D"/>
    <w:rsid w:val="54240834"/>
    <w:rsid w:val="54364306"/>
    <w:rsid w:val="543D5452"/>
    <w:rsid w:val="54484523"/>
    <w:rsid w:val="544A44E6"/>
    <w:rsid w:val="54FE2E33"/>
    <w:rsid w:val="554D6FF8"/>
    <w:rsid w:val="555111B5"/>
    <w:rsid w:val="555467EE"/>
    <w:rsid w:val="55C71477"/>
    <w:rsid w:val="55E52DA6"/>
    <w:rsid w:val="55EF0E19"/>
    <w:rsid w:val="55FC4133"/>
    <w:rsid w:val="566118CC"/>
    <w:rsid w:val="566F79CB"/>
    <w:rsid w:val="56762305"/>
    <w:rsid w:val="56D36553"/>
    <w:rsid w:val="57292C76"/>
    <w:rsid w:val="575E22AF"/>
    <w:rsid w:val="578735B4"/>
    <w:rsid w:val="57AE5329"/>
    <w:rsid w:val="57D8796C"/>
    <w:rsid w:val="57DE1EEB"/>
    <w:rsid w:val="57DF5B38"/>
    <w:rsid w:val="57EA769F"/>
    <w:rsid w:val="58043D9C"/>
    <w:rsid w:val="580E0169"/>
    <w:rsid w:val="58156E12"/>
    <w:rsid w:val="581806B0"/>
    <w:rsid w:val="58D81BED"/>
    <w:rsid w:val="58E92E2F"/>
    <w:rsid w:val="58ED7447"/>
    <w:rsid w:val="5923691A"/>
    <w:rsid w:val="593632C9"/>
    <w:rsid w:val="595C45CC"/>
    <w:rsid w:val="599367F1"/>
    <w:rsid w:val="599D6D92"/>
    <w:rsid w:val="59B822C1"/>
    <w:rsid w:val="59CD1026"/>
    <w:rsid w:val="59E20F76"/>
    <w:rsid w:val="59EE791A"/>
    <w:rsid w:val="59F36CDF"/>
    <w:rsid w:val="5A064C0D"/>
    <w:rsid w:val="5A1804F3"/>
    <w:rsid w:val="5A4532B2"/>
    <w:rsid w:val="5A470DD9"/>
    <w:rsid w:val="5A737E20"/>
    <w:rsid w:val="5A865DA5"/>
    <w:rsid w:val="5A875679"/>
    <w:rsid w:val="5AC20562"/>
    <w:rsid w:val="5ACF7EA7"/>
    <w:rsid w:val="5AD92379"/>
    <w:rsid w:val="5B294982"/>
    <w:rsid w:val="5B2F2837"/>
    <w:rsid w:val="5B604FDC"/>
    <w:rsid w:val="5B6634E0"/>
    <w:rsid w:val="5B7227CA"/>
    <w:rsid w:val="5BDA2C29"/>
    <w:rsid w:val="5C441A74"/>
    <w:rsid w:val="5CEC5C67"/>
    <w:rsid w:val="5D3513BC"/>
    <w:rsid w:val="5D413CF7"/>
    <w:rsid w:val="5D8440F2"/>
    <w:rsid w:val="5DD276C1"/>
    <w:rsid w:val="5DEB5F1F"/>
    <w:rsid w:val="5E196F30"/>
    <w:rsid w:val="5E211941"/>
    <w:rsid w:val="5E2F405E"/>
    <w:rsid w:val="5E99597B"/>
    <w:rsid w:val="5E9A1E1F"/>
    <w:rsid w:val="5EBA426F"/>
    <w:rsid w:val="5EDD7F5D"/>
    <w:rsid w:val="5EFF7ED4"/>
    <w:rsid w:val="5F2913F5"/>
    <w:rsid w:val="5F2A5C12"/>
    <w:rsid w:val="5F4D50E3"/>
    <w:rsid w:val="5F5410F1"/>
    <w:rsid w:val="5F5F4E16"/>
    <w:rsid w:val="5F8623A3"/>
    <w:rsid w:val="5F944AC0"/>
    <w:rsid w:val="5FA82584"/>
    <w:rsid w:val="5FBA1E19"/>
    <w:rsid w:val="5FED2422"/>
    <w:rsid w:val="5FF025E4"/>
    <w:rsid w:val="602708F0"/>
    <w:rsid w:val="60471B32"/>
    <w:rsid w:val="608508AD"/>
    <w:rsid w:val="60934D78"/>
    <w:rsid w:val="60B116A2"/>
    <w:rsid w:val="60CA4511"/>
    <w:rsid w:val="60DF5175"/>
    <w:rsid w:val="60EC4488"/>
    <w:rsid w:val="61363955"/>
    <w:rsid w:val="61546919"/>
    <w:rsid w:val="615E2F29"/>
    <w:rsid w:val="6162299C"/>
    <w:rsid w:val="61734BA9"/>
    <w:rsid w:val="617C580C"/>
    <w:rsid w:val="61851AB4"/>
    <w:rsid w:val="61CB229C"/>
    <w:rsid w:val="62065A1D"/>
    <w:rsid w:val="623065F6"/>
    <w:rsid w:val="625422E5"/>
    <w:rsid w:val="626C1FD5"/>
    <w:rsid w:val="62830E1C"/>
    <w:rsid w:val="62EE44E7"/>
    <w:rsid w:val="62FF4946"/>
    <w:rsid w:val="63072F03"/>
    <w:rsid w:val="633E6DDC"/>
    <w:rsid w:val="638210D3"/>
    <w:rsid w:val="63AD55E9"/>
    <w:rsid w:val="63CE4319"/>
    <w:rsid w:val="64485E79"/>
    <w:rsid w:val="64553B0B"/>
    <w:rsid w:val="64955489"/>
    <w:rsid w:val="64C64FF0"/>
    <w:rsid w:val="64D911C7"/>
    <w:rsid w:val="65385EEE"/>
    <w:rsid w:val="65C07C91"/>
    <w:rsid w:val="65D5651E"/>
    <w:rsid w:val="65DF1864"/>
    <w:rsid w:val="66034D89"/>
    <w:rsid w:val="660B1854"/>
    <w:rsid w:val="66291CDA"/>
    <w:rsid w:val="66391F1D"/>
    <w:rsid w:val="66552ACF"/>
    <w:rsid w:val="66565B74"/>
    <w:rsid w:val="66650F64"/>
    <w:rsid w:val="667C62AE"/>
    <w:rsid w:val="66974E96"/>
    <w:rsid w:val="66FE3167"/>
    <w:rsid w:val="671E7365"/>
    <w:rsid w:val="6727621A"/>
    <w:rsid w:val="674175E7"/>
    <w:rsid w:val="67834660"/>
    <w:rsid w:val="67A07D7A"/>
    <w:rsid w:val="67BA52E0"/>
    <w:rsid w:val="67BF28F6"/>
    <w:rsid w:val="67F105D6"/>
    <w:rsid w:val="67FA392E"/>
    <w:rsid w:val="6808604B"/>
    <w:rsid w:val="681A5D7E"/>
    <w:rsid w:val="68C107F1"/>
    <w:rsid w:val="68E125A5"/>
    <w:rsid w:val="691A14D4"/>
    <w:rsid w:val="695C0B27"/>
    <w:rsid w:val="69A040D3"/>
    <w:rsid w:val="69E54A16"/>
    <w:rsid w:val="6A0D4150"/>
    <w:rsid w:val="6A321B28"/>
    <w:rsid w:val="6A607681"/>
    <w:rsid w:val="6AB9187F"/>
    <w:rsid w:val="6AF97ECD"/>
    <w:rsid w:val="6B224DC9"/>
    <w:rsid w:val="6B265F0B"/>
    <w:rsid w:val="6B2B0448"/>
    <w:rsid w:val="6B767770"/>
    <w:rsid w:val="6B9207B1"/>
    <w:rsid w:val="6B9E19D5"/>
    <w:rsid w:val="6BA047ED"/>
    <w:rsid w:val="6C1A634D"/>
    <w:rsid w:val="6C20148A"/>
    <w:rsid w:val="6C58151A"/>
    <w:rsid w:val="6C6509E5"/>
    <w:rsid w:val="6C6677E4"/>
    <w:rsid w:val="6C891725"/>
    <w:rsid w:val="6C9C7E18"/>
    <w:rsid w:val="6CA16E7C"/>
    <w:rsid w:val="6CAE6A95"/>
    <w:rsid w:val="6CBC7404"/>
    <w:rsid w:val="6CC369E5"/>
    <w:rsid w:val="6D454822"/>
    <w:rsid w:val="6D57537F"/>
    <w:rsid w:val="6DA06D26"/>
    <w:rsid w:val="6E146DCC"/>
    <w:rsid w:val="6E443B55"/>
    <w:rsid w:val="6E443D21"/>
    <w:rsid w:val="6E4B4EE4"/>
    <w:rsid w:val="6E5E3ADA"/>
    <w:rsid w:val="6E637434"/>
    <w:rsid w:val="6E8B1784"/>
    <w:rsid w:val="6E934195"/>
    <w:rsid w:val="6E95615F"/>
    <w:rsid w:val="6EC30F1E"/>
    <w:rsid w:val="6EC802E2"/>
    <w:rsid w:val="6ECF6865"/>
    <w:rsid w:val="6EF07839"/>
    <w:rsid w:val="6EF231C9"/>
    <w:rsid w:val="6F4A519B"/>
    <w:rsid w:val="6F6138D1"/>
    <w:rsid w:val="6F6F40A4"/>
    <w:rsid w:val="6F7B0736"/>
    <w:rsid w:val="6FA32AFD"/>
    <w:rsid w:val="6FD95FB7"/>
    <w:rsid w:val="6FF45107"/>
    <w:rsid w:val="700A66D9"/>
    <w:rsid w:val="704F058F"/>
    <w:rsid w:val="706B7CAE"/>
    <w:rsid w:val="7087553B"/>
    <w:rsid w:val="70A408DB"/>
    <w:rsid w:val="70AE18CE"/>
    <w:rsid w:val="70B8153B"/>
    <w:rsid w:val="70CA4005"/>
    <w:rsid w:val="70CA7A0B"/>
    <w:rsid w:val="70EB650A"/>
    <w:rsid w:val="711D243B"/>
    <w:rsid w:val="71867FE1"/>
    <w:rsid w:val="71B12103"/>
    <w:rsid w:val="71C31601"/>
    <w:rsid w:val="71C87E26"/>
    <w:rsid w:val="72005FE5"/>
    <w:rsid w:val="722C6DDA"/>
    <w:rsid w:val="722D2A5F"/>
    <w:rsid w:val="72424B6E"/>
    <w:rsid w:val="725268CF"/>
    <w:rsid w:val="72B564AF"/>
    <w:rsid w:val="72D54D7C"/>
    <w:rsid w:val="72E90827"/>
    <w:rsid w:val="73131D48"/>
    <w:rsid w:val="734D5494"/>
    <w:rsid w:val="73530396"/>
    <w:rsid w:val="73D2673A"/>
    <w:rsid w:val="73FE6554"/>
    <w:rsid w:val="740759EF"/>
    <w:rsid w:val="74161AF0"/>
    <w:rsid w:val="74DF6386"/>
    <w:rsid w:val="74F87D45"/>
    <w:rsid w:val="75322959"/>
    <w:rsid w:val="757F5473"/>
    <w:rsid w:val="75B36349"/>
    <w:rsid w:val="75D03F20"/>
    <w:rsid w:val="75E63744"/>
    <w:rsid w:val="75EF1846"/>
    <w:rsid w:val="761C6CE6"/>
    <w:rsid w:val="764C46B6"/>
    <w:rsid w:val="766F5311"/>
    <w:rsid w:val="769B54EE"/>
    <w:rsid w:val="774C5829"/>
    <w:rsid w:val="77547E9C"/>
    <w:rsid w:val="77EB6DF0"/>
    <w:rsid w:val="78570929"/>
    <w:rsid w:val="785D5E2D"/>
    <w:rsid w:val="78782D79"/>
    <w:rsid w:val="789B7419"/>
    <w:rsid w:val="789D54C8"/>
    <w:rsid w:val="78D67AA0"/>
    <w:rsid w:val="78E82ECC"/>
    <w:rsid w:val="79231130"/>
    <w:rsid w:val="794E3D6D"/>
    <w:rsid w:val="796053D6"/>
    <w:rsid w:val="796E1A86"/>
    <w:rsid w:val="799405EC"/>
    <w:rsid w:val="79E1494E"/>
    <w:rsid w:val="7A794341"/>
    <w:rsid w:val="7B0A57DF"/>
    <w:rsid w:val="7B6020D8"/>
    <w:rsid w:val="7B7427C3"/>
    <w:rsid w:val="7B931C78"/>
    <w:rsid w:val="7BAE6AB2"/>
    <w:rsid w:val="7BB06386"/>
    <w:rsid w:val="7BBA0FB3"/>
    <w:rsid w:val="7BC42AAA"/>
    <w:rsid w:val="7BCB1412"/>
    <w:rsid w:val="7C484810"/>
    <w:rsid w:val="7C6D475B"/>
    <w:rsid w:val="7C7C44BA"/>
    <w:rsid w:val="7C9D46F4"/>
    <w:rsid w:val="7CAD39C9"/>
    <w:rsid w:val="7CB43C54"/>
    <w:rsid w:val="7CBE2D25"/>
    <w:rsid w:val="7CF21D8E"/>
    <w:rsid w:val="7D0F538C"/>
    <w:rsid w:val="7D1312C2"/>
    <w:rsid w:val="7D311748"/>
    <w:rsid w:val="7D36790A"/>
    <w:rsid w:val="7DC867A5"/>
    <w:rsid w:val="7DD65E4C"/>
    <w:rsid w:val="7E3F342D"/>
    <w:rsid w:val="7E484F9C"/>
    <w:rsid w:val="7E4A2ED2"/>
    <w:rsid w:val="7E5A6A7D"/>
    <w:rsid w:val="7EC363D0"/>
    <w:rsid w:val="7EEE7E16"/>
    <w:rsid w:val="7F2D7CEE"/>
    <w:rsid w:val="7F5323B4"/>
    <w:rsid w:val="7F6C2F0C"/>
    <w:rsid w:val="7F792F33"/>
    <w:rsid w:val="7FDF72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color w:val="000000"/>
      <w:kern w:val="28"/>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autoRedefine/>
    <w:semiHidden/>
    <w:qFormat/>
    <w:uiPriority w:val="0"/>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Calibri" w:hAnsi="Calibri"/>
      <w:szCs w:val="2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5489</Words>
  <Characters>5732</Characters>
  <Lines>0</Lines>
  <Paragraphs>0</Paragraphs>
  <TotalTime>4</TotalTime>
  <ScaleCrop>false</ScaleCrop>
  <LinksUpToDate>false</LinksUpToDate>
  <CharactersWithSpaces>9565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2023-10-19T06:50:00Z</dcterms:created>
  <dc:creator>山茜</dc:creator>
  <cp:lastModifiedBy>小铁</cp:lastModifiedBy>
  <dcterms:modified xsi:type="dcterms:W3CDTF">2024-10-22T13:07:27Z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A5E392AB03D442C58A9C5C71E4DE50B4_13</vt:lpwstr>
  </property>
</Properties>
</file>