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606D4">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24130</wp:posOffset>
                </wp:positionV>
                <wp:extent cx="2473960" cy="434340"/>
                <wp:effectExtent l="0" t="0" r="2540" b="3810"/>
                <wp:wrapNone/>
                <wp:docPr id="3" name="矩形 1"/>
                <wp:cNvGraphicFramePr/>
                <a:graphic xmlns:a="http://schemas.openxmlformats.org/drawingml/2006/main">
                  <a:graphicData uri="http://schemas.microsoft.com/office/word/2010/wordprocessingShape">
                    <wps:wsp>
                      <wps:cNvSpPr/>
                      <wps:spPr>
                        <a:xfrm>
                          <a:off x="0" y="0"/>
                          <a:ext cx="2473960" cy="434340"/>
                        </a:xfrm>
                        <a:prstGeom prst="rect">
                          <a:avLst/>
                        </a:prstGeom>
                        <a:solidFill>
                          <a:srgbClr val="FFFFFF"/>
                        </a:solidFill>
                        <a:ln>
                          <a:noFill/>
                        </a:ln>
                      </wps:spPr>
                      <wps:txbx>
                        <w:txbxContent>
                          <w:p w14:paraId="60A15846">
                            <w:pPr>
                              <w:rPr>
                                <w:rFonts w:hint="eastAsia" w:ascii="黑体" w:hAnsi="黑体" w:eastAsia="黑体" w:cs="黑体"/>
                                <w:sz w:val="32"/>
                                <w:szCs w:val="32"/>
                                <w:lang w:eastAsia="zh-CN"/>
                              </w:rPr>
                            </w:pPr>
                            <w:r>
                              <w:rPr>
                                <w:rFonts w:hint="eastAsia" w:ascii="黑体" w:hAnsi="黑体" w:eastAsia="黑体" w:cs="黑体"/>
                                <w:sz w:val="32"/>
                                <w:szCs w:val="32"/>
                                <w:lang w:eastAsia="zh-CN"/>
                              </w:rPr>
                              <w:t>内部资料</w:t>
                            </w:r>
                          </w:p>
                        </w:txbxContent>
                      </wps:txbx>
                      <wps:bodyPr lIns="36195" tIns="36195" rIns="36195" bIns="36195" upright="1"/>
                    </wps:wsp>
                  </a:graphicData>
                </a:graphic>
              </wp:anchor>
            </w:drawing>
          </mc:Choice>
          <mc:Fallback>
            <w:pict>
              <v:rect id="矩形 1" o:spid="_x0000_s1026" o:spt="1" style="position:absolute;left:0pt;margin-left:1.25pt;margin-top:1.9pt;height:34.2pt;width:194.8pt;z-index:251661312;mso-width-relative:page;mso-height-relative:page;" fillcolor="#FFFFFF" filled="t" stroked="f" coordsize="21600,21600" o:gfxdata="UEsDBAoAAAAAAIdO4kAAAAAAAAAAAAAAAAAEAAAAZHJzL1BLAwQUAAAACACHTuJArnKOYtQAAAAG&#10;AQAADwAAAGRycy9kb3ducmV2LnhtbE3OTU7DMBAF4D0Sd7AGiR114lJ+QpwukFBWLCg9gBtP47Tx&#10;OMROm96+wwqWo/f05ivXs+/FCcfYBdKQLzIQSE2wHbUatt8fDy8gYjJkTR8INVwwwrq6vSlNYcOZ&#10;vvC0Sa3gEYqF0eBSGgopY+PQm7gIAxJn+zB6k/gcW2lHc+Zx30uVZU/Sm474gzMDvjtsjpvJa9in&#10;z/lw2B7p0TnX1vVPPU2rWuv7uzx7A5FwTn9l+OUzHSo27cJENopeg1pxUcOS/ZwuX1UOYqfhWSmQ&#10;VSn/86srUEsDBBQAAAAIAIdO4kDreCN5ygEAAJ4DAAAOAAAAZHJzL2Uyb0RvYy54bWytU0tu2zAQ&#10;3RfoHQjua/qTuo1gOYsaLgoUbYCkB6AoSiLAH4a0JZ+mQHc9RI9T9BodUqrjJpssIgHUDGf4Zt4b&#10;anMzGE2OEoJytqSL2ZwSaYWrlW1L+u1+/+Y9JSFyW3PtrCzpSQZ6s339atP7Qi5d53QtgSCIDUXv&#10;S9rF6AvGguik4WHmvLQYbBwYHtGFltXAe0Q3mi3n8zXrHdQenJAh4O5uDNIJEZ4D6JpGCblz4mCk&#10;jSMqSM0jUgqd8oFuc7dNI0X82jRBRqJLikxjXrEI2lVa2XbDixa475SYWuDPaeERJ8OVxaJnqB2P&#10;nBxAPYEySoALrokz4QwbiWRFkMVi/kibu457mbmg1MGfRQ8vByu+HG+BqLqkK0osNzjwP99//v71&#10;gyySNr0PBabc+VuYvIBmIjo0YNIXKZAh63k66ymHSARuLq/era7XKLXA2NUK3yw4ezjtIcSP0hmS&#10;jJICzivLyI+fQ8SKmPovJRULTqt6r7TODrTVBw3kyHG2+/yklvHIf2napmTr0rExnHZYYjZySVYc&#10;qmEiWLn6hJLoTxZlXq0X12/x2lw6cOlUl87Bg2o75JG1yyVwbLml6Yqle3Hp50Yefqvt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5yjmLUAAAABgEAAA8AAAAAAAAAAQAgAAAAIgAAAGRycy9kb3du&#10;cmV2LnhtbFBLAQIUABQAAAAIAIdO4kDreCN5ygEAAJ4DAAAOAAAAAAAAAAEAIAAAACMBAABkcnMv&#10;ZTJvRG9jLnhtbFBLBQYAAAAABgAGAFkBAABfBQAAAAA=&#10;">
                <v:fill on="t" focussize="0,0"/>
                <v:stroke on="f"/>
                <v:imagedata o:title=""/>
                <o:lock v:ext="edit" aspectratio="f"/>
                <v:textbox inset="2.85pt,2.85pt,2.85pt,2.85pt">
                  <w:txbxContent>
                    <w:p w14:paraId="60A15846">
                      <w:pPr>
                        <w:rPr>
                          <w:rFonts w:hint="eastAsia" w:ascii="黑体" w:hAnsi="黑体" w:eastAsia="黑体" w:cs="黑体"/>
                          <w:sz w:val="32"/>
                          <w:szCs w:val="32"/>
                          <w:lang w:eastAsia="zh-CN"/>
                        </w:rPr>
                      </w:pPr>
                      <w:r>
                        <w:rPr>
                          <w:rFonts w:hint="eastAsia" w:ascii="黑体" w:hAnsi="黑体" w:eastAsia="黑体" w:cs="黑体"/>
                          <w:sz w:val="32"/>
                          <w:szCs w:val="32"/>
                          <w:lang w:eastAsia="zh-CN"/>
                        </w:rPr>
                        <w:t>内部资料</w:t>
                      </w:r>
                    </w:p>
                  </w:txbxContent>
                </v:textbox>
              </v:rect>
            </w:pict>
          </mc:Fallback>
        </mc:AlternateContent>
      </w: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996315</wp:posOffset>
                </wp:positionH>
                <wp:positionV relativeFrom="paragraph">
                  <wp:posOffset>12065</wp:posOffset>
                </wp:positionV>
                <wp:extent cx="505206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052060" cy="635"/>
                        </a:xfrm>
                        <a:prstGeom prst="line">
                          <a:avLst/>
                        </a:prstGeom>
                        <a:ln w="3175" cap="flat" cmpd="sng">
                          <a:solidFill>
                            <a:srgbClr val="FFFFFF">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45pt;margin-top:0.95pt;height:0.05pt;width:397.8pt;z-index:251664384;mso-width-relative:page;mso-height-relative:page;" filled="f" stroked="t" coordsize="21600,21600" o:gfxdata="UEsDBAoAAAAAAIdO4kAAAAAAAAAAAAAAAAAEAAAAZHJzL1BLAwQUAAAACACHTuJAw1UF/NYAAAAH&#10;AQAADwAAAGRycy9kb3ducmV2LnhtbE2OwU7DMBBE70j8g7VIXBC1G5GqTeP0kKoXhIRo+QA32SZR&#10;4nVku03g61lOcNoZzWj25bvZDuKGPnSONCwXCgRS5eqOGg2fp8PzGkSIhmozOEINXxhgV9zf5Sar&#10;3UQfeDvGRvAIhcxoaGMcMylD1aI1YeFGJM4uzlsT2fpG1t5MPG4HmSi1ktZ0xB9aM2LZYtUfr1ZD&#10;OU/T/psO/m3fv7/Q61Op1n2n9ePDUm1BRJzjXxl+8RkdCmY6uyvVQQzs09WGqyz4cL5JkxTEWUOi&#10;QBa5/M9f/ABQSwMEFAAAAAgAh07iQCqKmcwDAgAACAQAAA4AAABkcnMvZTJvRG9jLnhtbK1TTY7T&#10;MBTeI3EHy3uatKO2KGo6iyllg6AScIBX20ks+U+227SX4AJI7GDFkj23YTgGz07owLDpgiycZ/u9&#10;z9/3+Xl1e9KKHIUP0pqaTiclJcIwy6Vpa/r+3fbZc0pCBMNBWSNqehaB3q6fPln1rhIz21nFhScI&#10;YkLVu5p2MbqqKALrhIYwsU4Y3Gys1xBx6tuCe+gRXatiVpaLoreeO2+ZCAFXN8MmHRH9NYC2aSQT&#10;G8sOWpg4oHqhIKKk0EkX6DqzbRrB4pumCSISVVNUGvOIh2C8T2OxXkHVenCdZCMFuIbCI00apMFD&#10;L1AbiEAOXv4DpSXzNtgmTpjVxSAkO4IqpuUjb9524ETWglYHdzE9/D9Y9vq480Tymi4pMaDxwu8/&#10;fvvx4fPP759wvP/6hSyTSb0LFebemZ0fZ8HtfFJ8arxOf9RCTtnY88VYcYqE4eK8nM/KBXrOcG9x&#10;M0+IxUOp8yG+FFaTFNRUSZNUQwXHVyEOqb9T0rIypK/pzXQ5R0DAFmzw6jHUDmUE0+baYJXkW6lU&#10;qgi+3d8pT46AbbDN33CAch0Mq9MyfSOxMT+T/Aso0dhA6IaavJVKoOoE8BeGk3h2aKHBl0MTSS04&#10;JUrgQ0tRzowg1TWZ6I8yyCA5P3idor3lZ7ywg/Oy7dCraWacdrBBMt+xmVMH/jnPSA8PeP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UF/NYAAAAHAQAADwAAAAAAAAABACAAAAAiAAAAZHJzL2Rv&#10;d25yZXYueG1sUEsBAhQAFAAAAAgAh07iQCqKmcwDAgAACAQAAA4AAAAAAAAAAQAgAAAAJQEAAGRy&#10;cy9lMm9Eb2MueG1sUEsFBgAAAAAGAAYAWQEAAJoFAAAAAA==&#10;">
                <v:fill on="f" focussize="0,0"/>
                <v:stroke weight="0.25pt" color="#FFFFFF" joinstyle="round"/>
                <v:imagedata o:title=""/>
                <o:lock v:ext="edit" aspectratio="f"/>
              </v:line>
            </w:pict>
          </mc:Fallback>
        </mc:AlternateContent>
      </w: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-809625</wp:posOffset>
                </wp:positionH>
                <wp:positionV relativeFrom="paragraph">
                  <wp:posOffset>1793240</wp:posOffset>
                </wp:positionV>
                <wp:extent cx="6858000" cy="635"/>
                <wp:effectExtent l="0" t="0" r="0" b="0"/>
                <wp:wrapNone/>
                <wp:docPr id="6" name="直接连接符 8"/>
                <wp:cNvGraphicFramePr/>
                <a:graphic xmlns:a="http://schemas.openxmlformats.org/drawingml/2006/main">
                  <a:graphicData uri="http://schemas.microsoft.com/office/word/2010/wordprocessingShape">
                    <wps:wsp>
                      <wps:cNvCnPr/>
                      <wps:spPr>
                        <a:xfrm>
                          <a:off x="0" y="0"/>
                          <a:ext cx="6858000" cy="635"/>
                        </a:xfrm>
                        <a:prstGeom prst="line">
                          <a:avLst/>
                        </a:prstGeom>
                        <a:ln w="3175" cap="flat" cmpd="sng">
                          <a:solidFill>
                            <a:srgbClr val="FFFFFF">
                              <a:alpha val="100000"/>
                            </a:srgbClr>
                          </a:solidFill>
                          <a:prstDash val="solid"/>
                          <a:headEnd type="none" w="med" len="med"/>
                          <a:tailEnd type="none" w="med" len="med"/>
                        </a:ln>
                      </wps:spPr>
                      <wps:bodyPr upright="1"/>
                    </wps:wsp>
                  </a:graphicData>
                </a:graphic>
              </wp:anchor>
            </w:drawing>
          </mc:Choice>
          <mc:Fallback>
            <w:pict>
              <v:line id="直接连接符 8" o:spid="_x0000_s1026" o:spt="20" style="position:absolute;left:0pt;margin-left:-63.75pt;margin-top:141.2pt;height:0.05pt;width:540pt;z-index:251663360;mso-width-relative:page;mso-height-relative:page;" filled="f" stroked="t" coordsize="21600,21600" o:gfxdata="UEsDBAoAAAAAAIdO4kAAAAAAAAAAAAAAAAAEAAAAZHJzL1BLAwQUAAAACACHTuJASGWiUdoAAAAM&#10;AQAADwAAAGRycy9kb3ducmV2LnhtbE2PQU7DMBBF90jcwRokNqi1EzUQQpwuUnWDkFALB3DjIYkS&#10;jyPbbQKnx7CB5fx5+vOm3C5mZBd0vrckIVkLYEiN1T21Et7f9qscmA+KtBotoYRP9LCtrq9KVWg7&#10;0wEvx9CyWEK+UBK6EKaCc990aJRf2wkp7j6sMyrE0bVcOzXHcjPyVIh7blRP8UKnJqw7bIbj2Uio&#10;l3nefdHeveyG1w0939UiH3opb28S8QQs4BL+YPjRj+pQRaeTPZP2bJSwStKHLLIS0jzdAIvIY5bG&#10;5PSbZMCrkv9/ovoGUEsDBBQAAAAIAIdO4kCCX+xKBQIAAAgEAAAOAAAAZHJzL2Uyb0RvYy54bWyt&#10;U82O0zAQviPxDpbvNOmuWqqo6R62lAuClYAHmDpOYsl/8rhN+xK8ABI3OHHkztuwPAZjp3RhufRA&#10;Ds7Ynvn8fZ/Hy5uD0WwvAypnaz6dlJxJK1yjbFfz9+82zxacYQTbgHZW1vwokd+snj5ZDr6SV653&#10;upGBEYjFavA172P0VVGg6KUBnDgvLW22LhiINA1d0QQYCN3o4qos58XgQuODExKRVtfjJj8hhksA&#10;XdsqIddO7Iy0cUQNUkMkSdgrj3yV2batFPFN26KMTNeclMY80iEUb9NYrJZQdQF8r8SJAlxC4ZEm&#10;A8rSoWeoNURgu6D+gTJKBIeujRPhTDEKyY6Qimn5yJu3PXiZtZDV6M+m4/+DFa/3d4GppuZzziwY&#10;uvD7j99+fPj88/snGu+/fmGLZNLgsaLcW3sXTjP0dyEpPrTBpD9pYYds7PFsrDxEJmhxvpgtypI8&#10;F7Q3v54lxOKh1AeML6UzLAU118om1VDB/hXGMfV3SlrWlg01v54+nxEgUAu2dPUUGk8y0Ha5Fp1W&#10;zUZpnSowdNtbHdgeqA02+RsP0L6HcXVK/IjheNopP5P8CyjRWAP2Y03eSiVQ9RKaF7Zh8ejJQksv&#10;hyeSRjacaUkPLUU5M4LSl2SSP9oSg+T86HWKtq450oXtfFBdT15NM+O0Qw2S+Z6aOXXgn/OM9PCA&#10;V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GWiUdoAAAAMAQAADwAAAAAAAAABACAAAAAiAAAA&#10;ZHJzL2Rvd25yZXYueG1sUEsBAhQAFAAAAAgAh07iQIJf7EoFAgAACAQAAA4AAAAAAAAAAQAgAAAA&#10;KQEAAGRycy9lMm9Eb2MueG1sUEsFBgAAAAAGAAYAWQEAAKAFAAAAAA==&#10;">
                <v:fill on="f" focussize="0,0"/>
                <v:stroke weight="0.25pt" color="#FFFFFF" joinstyle="round"/>
                <v:imagedata o:title=""/>
                <o:lock v:ext="edit" aspectratio="f"/>
              </v:line>
            </w:pict>
          </mc:Fallback>
        </mc:AlternateContent>
      </w: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996315</wp:posOffset>
                </wp:positionH>
                <wp:positionV relativeFrom="paragraph">
                  <wp:posOffset>33020</wp:posOffset>
                </wp:positionV>
                <wp:extent cx="2480310" cy="245745"/>
                <wp:effectExtent l="0" t="0" r="15240" b="1905"/>
                <wp:wrapNone/>
                <wp:docPr id="4" name="矩形 3"/>
                <wp:cNvGraphicFramePr/>
                <a:graphic xmlns:a="http://schemas.openxmlformats.org/drawingml/2006/main">
                  <a:graphicData uri="http://schemas.microsoft.com/office/word/2010/wordprocessingShape">
                    <wps:wsp>
                      <wps:cNvSpPr/>
                      <wps:spPr>
                        <a:xfrm>
                          <a:off x="0" y="0"/>
                          <a:ext cx="2480310" cy="245745"/>
                        </a:xfrm>
                        <a:prstGeom prst="rect">
                          <a:avLst/>
                        </a:prstGeom>
                        <a:solidFill>
                          <a:srgbClr val="FFFFFF"/>
                        </a:solidFill>
                        <a:ln>
                          <a:noFill/>
                        </a:ln>
                      </wps:spPr>
                      <wps:txbx>
                        <w:txbxContent>
                          <w:p w14:paraId="3D36E9E5"/>
                        </w:txbxContent>
                      </wps:txbx>
                      <wps:bodyPr lIns="36195" tIns="36195" rIns="36195" bIns="36195" upright="1"/>
                    </wps:wsp>
                  </a:graphicData>
                </a:graphic>
              </wp:anchor>
            </w:drawing>
          </mc:Choice>
          <mc:Fallback>
            <w:pict>
              <v:rect id="矩形 3" o:spid="_x0000_s1026" o:spt="1" style="position:absolute;left:0pt;margin-left:78.45pt;margin-top:2.6pt;height:19.35pt;width:195.3pt;z-index:251662336;mso-width-relative:page;mso-height-relative:page;" fillcolor="#FFFFFF" filled="t" stroked="f" coordsize="21600,21600" o:gfxdata="UEsDBAoAAAAAAIdO4kAAAAAAAAAAAAAAAAAEAAAAZHJzL1BLAwQUAAAACACHTuJArxTfYdUAAAAI&#10;AQAADwAAAGRycy9kb3ducmV2LnhtbE2PwU7DMBBE70j8g7VI3KjTEhca4vSAhHLiQOkHuPE2Thuv&#10;Q+y04e9ZTnAczWjmTbmdfS8uOMYukIblIgOB1ATbUath//n28AwiJkPW9IFQwzdG2Fa3N6UpbLjS&#10;B152qRVcQrEwGlxKQyFlbBx6ExdhQGLvGEZvEsuxlXY0Vy73vVxl2Vp60xEvODPgq8PmvJu8hmN6&#10;n0+n/Zly51xb11/1NKla6/u7ZfYCIuGc/sLwi8/oUDHTIUxko+hZq/WGoxrUCgT7Kn9SIA4a8scN&#10;yKqU/w9UP1BLAwQUAAAACACHTuJAe1bqLckBAACeAwAADgAAAGRycy9lMm9Eb2MueG1srVNLjtQw&#10;EN0jcQfLezpJf4Yh6vQsaDVCQjDSwAEcx0ks+aeyu5M+DRI7DsFxENeg7ISeZtjMgiycenb5ud4r&#10;e3s3akVOAry0pqLFIqdEGG4babqKfvl8eHVLiQ/MNExZIyp6Fp7e7V6+2A6uFEvbW9UIIEhifDm4&#10;ivYhuDLLPO+FZn5hnTC42FrQLCCELmuADciuVbbM85tssNA4sFx4j7P7aZHOjPAcQtu2kou95Uct&#10;TJhYQSgWUJLvpfN0l6ptW8HDp7b1IhBVUVQa0oiHYFzHMdttWdkBc73kcwnsOSU80aSZNHjohWrP&#10;AiNHkP9QacnBetuGBbc6m4QkR1BFkT/x5qFnTiQtaLV3F9P9/6PlH0/3QGRT0TUlhmls+K+v33/+&#10;+EZW0ZvB+RJTHtw9zMhjGIWOLej4RwlkTH6eL36KMRCOk8v1bb4q0GqOa8v15vV6E0mzx90OfHgn&#10;rCYxqChgv5KN7PTBhyn1T0o8zFslm4NUKgHo6rcKyIlhbw/pm9n/SlMmJhsbt02McSaLyiYtMQpj&#10;Pc4Ca9uc0RL13qDNq5vizQavzTWAa1Bfg6MD2fWoo0iFRGJsWxI8X7F4L65xKuTxWe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8U32HVAAAACAEAAA8AAAAAAAAAAQAgAAAAIgAAAGRycy9kb3du&#10;cmV2LnhtbFBLAQIUABQAAAAIAIdO4kB7VuotyQEAAJ4DAAAOAAAAAAAAAAEAIAAAACQBAABkcnMv&#10;ZTJvRG9jLnhtbFBLBQYAAAAABgAGAFkBAABfBQAAAAA=&#10;">
                <v:fill on="t" focussize="0,0"/>
                <v:stroke on="f"/>
                <v:imagedata o:title=""/>
                <o:lock v:ext="edit" aspectratio="f"/>
                <v:textbox inset="2.85pt,2.85pt,2.85pt,2.85pt">
                  <w:txbxContent>
                    <w:p w14:paraId="3D36E9E5"/>
                  </w:txbxContent>
                </v:textbox>
              </v:rect>
            </w:pict>
          </mc:Fallback>
        </mc:AlternateContent>
      </w: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59264" behindDoc="0" locked="0" layoutInCell="1" hidden="1" allowOverlap="1">
                <wp:simplePos x="0" y="0"/>
                <wp:positionH relativeFrom="column">
                  <wp:posOffset>-809625</wp:posOffset>
                </wp:positionH>
                <wp:positionV relativeFrom="paragraph">
                  <wp:posOffset>12065</wp:posOffset>
                </wp:positionV>
                <wp:extent cx="6858000" cy="2178685"/>
                <wp:effectExtent l="0" t="0" r="0" b="0"/>
                <wp:wrapNone/>
                <wp:docPr id="1" name="矩形 4" hidden="1"/>
                <wp:cNvGraphicFramePr/>
                <a:graphic xmlns:a="http://schemas.openxmlformats.org/drawingml/2006/main">
                  <a:graphicData uri="http://schemas.microsoft.com/office/word/2010/wordprocessingShape">
                    <wps:wsp>
                      <wps:cNvSpPr/>
                      <wps:spPr>
                        <a:xfrm>
                          <a:off x="0" y="0"/>
                          <a:ext cx="6858000" cy="2178685"/>
                        </a:xfrm>
                        <a:prstGeom prst="rect">
                          <a:avLst/>
                        </a:prstGeom>
                        <a:solidFill>
                          <a:srgbClr val="FFFFFF"/>
                        </a:solidFill>
                        <a:ln>
                          <a:noFill/>
                        </a:ln>
                      </wps:spPr>
                      <wps:bodyPr lIns="36576" tIns="36576" rIns="36576" bIns="36576" upright="1"/>
                    </wps:wsp>
                  </a:graphicData>
                </a:graphic>
              </wp:anchor>
            </w:drawing>
          </mc:Choice>
          <mc:Fallback>
            <w:pict>
              <v:rect id="矩形 4" o:spid="_x0000_s1026" o:spt="1" style="position:absolute;left:0pt;margin-left:-63.75pt;margin-top:0.95pt;height:171.55pt;width:540pt;visibility:hidden;z-index:251659264;mso-width-relative:page;mso-height-relative:page;" fillcolor="#FFFFFF" filled="t" stroked="f" coordsize="21600,21600" o:gfxdata="UEsDBAoAAAAAAIdO4kAAAAAAAAAAAAAAAAAEAAAAZHJzL1BLAwQUAAAACACHTuJA05GiPNsAAAAK&#10;AQAADwAAAGRycy9kb3ducmV2LnhtbE2Py07DMBBF90j8gzVI7FonoSltiNMFCIlKqIW2iy6deEii&#10;xOModh/8PcMKllf36M6ZfHW1vTjj6FtHCuJpBAKpcqalWsFh/zpZgPBBk9G9I1TwjR5Wxe1NrjPj&#10;LvSJ512oBY+Qz7SCJoQhk9JXDVrtp25A4u7LjVYHjmMtzagvPG57mUTRXFrdEl9o9IDPDVbd7mQV&#10;bA9buXgp95uPbt29Hc189p6uj0rd38XRE4iA1/AHw68+q0PBTqU7kfGiVzCJk8eUWW6WIBhYpgnn&#10;UsHDLI1AFrn8/0LxA1BLAwQUAAAACACHTuJADbfmb8kBAACfAwAADgAAAGRycy9lMm9Eb2MueG1s&#10;rVPNjtMwEL4j8Q6W7zRpYbtV1HQPVEVICFZaeADXP4kl/2nsNu3TIHHjIXgcxGswdkK3LJc9kEMy&#10;Mx5/M983k/XdyRpylBC1dy2dz2pKpONeaNe19Mvn3asVJTExJ5jxTrb0LCO927x8sR5CIxe+90ZI&#10;IAjiYjOElvYphaaqIu+lZXHmg3R4qDxYltCFrhLABkS3plrU9bIaPIgAnssYMbodD+mECM8B9Epp&#10;LreeH6x0aUQFaVhCSrHXIdJN6VYpydMnpaJMxLQUmabyxiJo7/O72qxZ0wELveZTC+w5LTzhZJl2&#10;WPQCtWWJkQPof6Cs5uCjV2nGva1GIkURZDGvn2jz0LMgCxeUOoaL6PH/wfKPx3sgWuAmUOKYxYH/&#10;+vr9549v5A0lvRZC5iXJMg0hNpj9EO5h8iKamfNJgc1fZENORdrzRVp5SoRjcLm6WdU1qs7xbDG/&#10;XWEgo1aP1wPE9E56S7LRUsDZFUnZ8UNMY+qflFwteqPFThtTHOj2bw2QI8M578ozof+VZlxOdj5f&#10;GxFzpMrURjLZ2ntxRk3Me4c6v17e3C5xb64duHb2184hgO56bL4oVnBxboXltGN5Ma79Uv3xv9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ORojzbAAAACgEAAA8AAAAAAAAAAQAgAAAAIgAAAGRy&#10;cy9kb3ducmV2LnhtbFBLAQIUABQAAAAIAIdO4kANt+ZvyQEAAJ8DAAAOAAAAAAAAAAEAIAAAACoB&#10;AABkcnMvZTJvRG9jLnhtbFBLBQYAAAAABgAGAFkBAABlBQAAAAA=&#10;">
                <v:fill on="t" focussize="0,0"/>
                <v:stroke on="f"/>
                <v:imagedata o:title=""/>
                <o:lock v:ext="edit" aspectratio="f"/>
                <v:textbox inset="1.016mm,1.016mm,1.016mm,1.016mm"/>
              </v:rect>
            </w:pict>
          </mc:Fallback>
        </mc:AlternateContent>
      </w:r>
    </w:p>
    <w:p w14:paraId="3C2C7709">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kern w:val="28"/>
          <w:sz w:val="21"/>
          <w:szCs w:val="21"/>
          <w:highlight w:val="none"/>
          <w:lang w:val="en-US" w:eastAsia="zh-CN" w:bidi="ar-SA"/>
        </w:rPr>
      </w:pP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137795</wp:posOffset>
                </wp:positionV>
                <wp:extent cx="6019800" cy="1075055"/>
                <wp:effectExtent l="0" t="0" r="0" b="10795"/>
                <wp:wrapNone/>
                <wp:docPr id="2" name="矩形 6"/>
                <wp:cNvGraphicFramePr/>
                <a:graphic xmlns:a="http://schemas.openxmlformats.org/drawingml/2006/main">
                  <a:graphicData uri="http://schemas.microsoft.com/office/word/2010/wordprocessingShape">
                    <wps:wsp>
                      <wps:cNvSpPr/>
                      <wps:spPr>
                        <a:xfrm>
                          <a:off x="0" y="0"/>
                          <a:ext cx="6019800" cy="1075055"/>
                        </a:xfrm>
                        <a:prstGeom prst="rect">
                          <a:avLst/>
                        </a:prstGeom>
                        <a:solidFill>
                          <a:srgbClr val="FFFFFF"/>
                        </a:solidFill>
                        <a:ln>
                          <a:noFill/>
                        </a:ln>
                      </wps:spPr>
                      <wps:txbx>
                        <w:txbxContent>
                          <w:p w14:paraId="4EE526ED">
                            <w:pPr>
                              <w:widowControl w:val="0"/>
                              <w:jc w:val="center"/>
                              <w:rPr>
                                <w:rFonts w:ascii="方正小标宋简体" w:eastAsia="方正小标宋简体"/>
                                <w:color w:val="FF0000"/>
                                <w:spacing w:val="20"/>
                                <w:w w:val="65"/>
                                <w:sz w:val="100"/>
                                <w:szCs w:val="100"/>
                              </w:rPr>
                            </w:pPr>
                            <w:r>
                              <w:rPr>
                                <w:rFonts w:hint="eastAsia" w:ascii="方正小标宋简体" w:eastAsia="方正小标宋简体"/>
                                <w:color w:val="FF0000"/>
                                <w:spacing w:val="20"/>
                                <w:w w:val="65"/>
                                <w:sz w:val="100"/>
                                <w:szCs w:val="100"/>
                                <w:lang w:eastAsia="zh-CN"/>
                              </w:rPr>
                              <w:t>督</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查</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督</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办</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简</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报</w:t>
                            </w:r>
                          </w:p>
                        </w:txbxContent>
                      </wps:txbx>
                      <wps:bodyPr lIns="36195" tIns="0" rIns="36195" bIns="36195" upright="1"/>
                    </wps:wsp>
                  </a:graphicData>
                </a:graphic>
              </wp:anchor>
            </w:drawing>
          </mc:Choice>
          <mc:Fallback>
            <w:pict>
              <v:rect id="矩形 6" o:spid="_x0000_s1026" o:spt="1" style="position:absolute;left:0pt;margin-left:-13.95pt;margin-top:10.85pt;height:84.65pt;width:474pt;z-index:251660288;mso-width-relative:page;mso-height-relative:page;" fillcolor="#FFFFFF" filled="t" stroked="f" coordsize="21600,21600" o:gfxdata="UEsDBAoAAAAAAIdO4kAAAAAAAAAAAAAAAAAEAAAAZHJzL1BLAwQUAAAACACHTuJA3ArCe9cAAAAK&#10;AQAADwAAAGRycy9kb3ducmV2LnhtbE2PMU/DMBCFdyT+g3VILFVrO6CkCXE6gGBvy8DoxEcSNT4H&#10;22nLv8dMMJ7ep/e+q3dXO7Ez+jA6UiA3AhhS58xIvYL34+t6CyxETUZPjlDBNwbYNbc3ta6Mu9Ae&#10;z4fYs1RCodIKhhjnivPQDWh12LgZKWWfzlsd0+l7bry+pHI78UyInFs9UloY9IzPA3anw2IVnLaP&#10;x256yfdt4f3D6mP5mldvuVL3d1I8AYt4jX8w/OondWiSU+sWMoFNCtZZUSZUQSYLYAkoMyGBtYks&#10;pQDe1Pz/C80PUEsDBBQAAAAIAIdO4kBfA4W0ywEAAJsDAAAOAAAAZHJzL2Uyb0RvYy54bWytU0tu&#10;2zAQ3RfIHQjuY0ku7CaC5SxquChQtAHSHoCiKIkAfxjSlnyaAt31ED1O0Wt0SCmOk26yqBbUzHD4&#10;OO/NcHM3akWOAry0pqLFIqdEGG4babqKfvu6v76hxAdmGqasERU9CU/vtldvNoMrxdL2VjUCCIIY&#10;Xw6uon0Irswyz3uhmV9YJwxuthY0C+hClzXABkTXKlvm+TobLDQOLBfeY3Q3bdIZEV4DaNtWcrGz&#10;/KCFCRMqCMUCUvK9dJ5uU7VtK3j40rZeBKIqikxDWvEStOu4ZtsNKztgrpd8LoG9poQXnDSTBi89&#10;Q+1YYOQA8h8oLTlYb9uw4FZnE5GkCLIo8hfaPPTMicQFpfbuLLr/f7D88/EeiGwquqTEMI0N//P9&#10;5+9fP8g6ajM4X2LKg7uH2fNoRqJjCzr+kQIZk56ns55iDIRjcJ0Xtzc5Ss1xr8jfrfLVKqJmT8cd&#10;+PBBWE2iUVHAhiUd2fGTD1PqY0q8zVslm71UKjnQ1e8VkCPD5u7TN6M/S1MmJhsbj02IMZJFahOZ&#10;aIWxHmeGtW1OqIn6aFDnt+vidoVzkxxkApfR+tI5OJBdjxyKVEQExZ4lsvN8xaG49FMRT29q+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cCsJ71wAAAAoBAAAPAAAAAAAAAAEAIAAAACIAAABkcnMv&#10;ZG93bnJldi54bWxQSwECFAAUAAAACACHTuJAXwOFtMsBAACbAwAADgAAAAAAAAABACAAAAAmAQAA&#10;ZHJzL2Uyb0RvYy54bWxQSwUGAAAAAAYABgBZAQAAYwUAAAAA&#10;">
                <v:fill on="t" focussize="0,0"/>
                <v:stroke on="f"/>
                <v:imagedata o:title=""/>
                <o:lock v:ext="edit" aspectratio="f"/>
                <v:textbox inset="2.85pt,0mm,2.85pt,2.85pt">
                  <w:txbxContent>
                    <w:p w14:paraId="4EE526ED">
                      <w:pPr>
                        <w:widowControl w:val="0"/>
                        <w:jc w:val="center"/>
                        <w:rPr>
                          <w:rFonts w:ascii="方正小标宋简体" w:eastAsia="方正小标宋简体"/>
                          <w:color w:val="FF0000"/>
                          <w:spacing w:val="20"/>
                          <w:w w:val="65"/>
                          <w:sz w:val="100"/>
                          <w:szCs w:val="100"/>
                        </w:rPr>
                      </w:pPr>
                      <w:r>
                        <w:rPr>
                          <w:rFonts w:hint="eastAsia" w:ascii="方正小标宋简体" w:eastAsia="方正小标宋简体"/>
                          <w:color w:val="FF0000"/>
                          <w:spacing w:val="20"/>
                          <w:w w:val="65"/>
                          <w:sz w:val="100"/>
                          <w:szCs w:val="100"/>
                          <w:lang w:eastAsia="zh-CN"/>
                        </w:rPr>
                        <w:t>督</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查</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督</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办</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简</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报</w:t>
                      </w:r>
                    </w:p>
                  </w:txbxContent>
                </v:textbox>
              </v:rect>
            </w:pict>
          </mc:Fallback>
        </mc:AlternateContent>
      </w:r>
    </w:p>
    <w:p w14:paraId="4EC5212C">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color w:val="auto"/>
          <w:highlight w:val="none"/>
          <w:lang w:val="en-US" w:eastAsia="zh-CN"/>
        </w:rPr>
      </w:pPr>
    </w:p>
    <w:p w14:paraId="3831EDC3">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highlight w:val="none"/>
          <w:lang w:val="en-US" w:eastAsia="zh-CN"/>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1604010</wp:posOffset>
                </wp:positionH>
                <wp:positionV relativeFrom="paragraph">
                  <wp:posOffset>260350</wp:posOffset>
                </wp:positionV>
                <wp:extent cx="2534285" cy="800100"/>
                <wp:effectExtent l="0" t="0" r="18415" b="0"/>
                <wp:wrapNone/>
                <wp:docPr id="5" name="文本框 5"/>
                <wp:cNvGraphicFramePr/>
                <a:graphic xmlns:a="http://schemas.openxmlformats.org/drawingml/2006/main">
                  <a:graphicData uri="http://schemas.microsoft.com/office/word/2010/wordprocessingShape">
                    <wps:wsp>
                      <wps:cNvSpPr txBox="1"/>
                      <wps:spPr>
                        <a:xfrm>
                          <a:off x="0" y="0"/>
                          <a:ext cx="2534285" cy="800100"/>
                        </a:xfrm>
                        <a:prstGeom prst="rect">
                          <a:avLst/>
                        </a:prstGeom>
                        <a:solidFill>
                          <a:srgbClr val="FFFFFF"/>
                        </a:solidFill>
                        <a:ln>
                          <a:noFill/>
                        </a:ln>
                      </wps:spPr>
                      <wps:txbx>
                        <w:txbxContent>
                          <w:p w14:paraId="18A239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(吉林工商学院重点工作</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〕第</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期</w:t>
                            </w:r>
                          </w:p>
                        </w:txbxContent>
                      </wps:txbx>
                      <wps:bodyPr upright="1"/>
                    </wps:wsp>
                  </a:graphicData>
                </a:graphic>
              </wp:anchor>
            </w:drawing>
          </mc:Choice>
          <mc:Fallback>
            <w:pict>
              <v:shape id="_x0000_s1026" o:spid="_x0000_s1026" o:spt="202" type="#_x0000_t202" style="position:absolute;left:0pt;margin-left:126.3pt;margin-top:20.5pt;height:63pt;width:199.55pt;z-index:251666432;mso-width-relative:page;mso-height-relative:page;" fillcolor="#FFFFFF" filled="t" stroked="f" coordsize="21600,21600" o:gfxdata="UEsDBAoAAAAAAIdO4kAAAAAAAAAAAAAAAAAEAAAAZHJzL1BLAwQUAAAACACHTuJAuHpZ3dcAAAAK&#10;AQAADwAAAGRycy9kb3ducmV2LnhtbE2PQU7DMBBF90jcwRokNog6iRoH0jiVQAKxbekBJvE0iRrb&#10;Uew27e0ZVrAczdP/71fbqx3FheYweKchXSUgyLXeDK7TcPj+eH4BESI6g6N3pOFGAbb1/V2FpfGL&#10;29FlHzvBIS6UqKGPcSqlDG1PFsPKT+T4d/Szxcjn3Ekz48LhdpRZkihpcXDc0ONE7z21p/3Zajh+&#10;LU/569J8xkOxW6s3HIrG37R+fEiTDYhI1/gHw68+q0PNTo0/OxPEqCHLM8WohnXKmxhQeVqAaJhU&#10;RQKyruT/CfUPUEsDBBQAAAAIAIdO4kDwSAPIwgEAAHcDAAAOAAAAZHJzL2Uyb0RvYy54bWytU0tu&#10;2zAQ3RfIHQjuYylOXRiC5QCN4W6KtkDaA9AUJRHgDzO0JV+gvUFX3XTfc/kcHVKO06abLKqFRM48&#10;vpn3hlrdjdawgwLU3tX8ZlZyppz0jXZdzb983l4vOcMoXCOMd6rmR4X8bn31ajWESs19702jgBGJ&#10;w2oINe9jDFVRoOyVFTjzQTlKth6siLSFrmhADMRuTTEvyzfF4KEJ4KVCpOhmSvIzI7yE0Letlmrj&#10;5d4qFydWUEZEkoS9DsjXudu2VTJ+bFtUkZmak9KY31SE1rv0LtYrUXUgQq/luQXxkhaeabJCOyp6&#10;odqIKNge9D9UVkvw6Ns4k94Wk5DsCKm4KZ9589CLoLIWshrDxXT8f7Tyw+ETMN3UfMGZE5YGfvr+&#10;7fTj1+nnV7ZI9gwBK0I9BMLF8a0f6dI8xpGCSfXYgk1f0sMoT+YeL+aqMTJJwfni9vV8SVUk5ZYl&#10;qc3uF0+nA2B8p7xlaVFzoOFlT8XhPUbqhKCPkFQMvdHNVhuTN9Dt7g2wg6BBb/OTmqQjf8GMS2Dn&#10;07EpnSJF0jhpSas47saz8J1vjqR7H0B3PfWUlWc4zSPTn+9OGvif+0z69L+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4elnd1wAAAAoBAAAPAAAAAAAAAAEAIAAAACIAAABkcnMvZG93bnJldi54&#10;bWxQSwECFAAUAAAACACHTuJA8EgDyMIBAAB3AwAADgAAAAAAAAABACAAAAAmAQAAZHJzL2Uyb0Rv&#10;Yy54bWxQSwUGAAAAAAYABgBZAQAAWgUAAAAA&#10;">
                <v:fill on="t" focussize="0,0"/>
                <v:stroke on="f"/>
                <v:imagedata o:title=""/>
                <o:lock v:ext="edit" aspectratio="f"/>
                <v:textbox>
                  <w:txbxContent>
                    <w:p w14:paraId="18A239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(吉林工商学院重点工作</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〕第</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期</w:t>
                      </w:r>
                    </w:p>
                  </w:txbxContent>
                </v:textbox>
              </v:shape>
            </w:pict>
          </mc:Fallback>
        </mc:AlternateContent>
      </w:r>
    </w:p>
    <w:p w14:paraId="264140D8">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color w:val="auto"/>
          <w:highlight w:val="none"/>
          <w:lang w:val="en-US" w:eastAsia="zh-CN"/>
        </w:rPr>
      </w:pPr>
    </w:p>
    <w:p w14:paraId="6FF8639C">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color w:val="auto"/>
          <w:highlight w:val="none"/>
          <w:lang w:val="en-US" w:eastAsia="zh-CN"/>
        </w:rPr>
      </w:pPr>
    </w:p>
    <w:p w14:paraId="4A69CC51">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0"/>
          <w:sz w:val="24"/>
          <w:szCs w:val="24"/>
          <w:highlight w:val="none"/>
          <w:lang w:val="en-US" w:eastAsia="zh-CN" w:bidi="ar-SA"/>
        </w:rPr>
        <mc:AlternateContent>
          <mc:Choice Requires="wpg">
            <w:drawing>
              <wp:anchor distT="0" distB="0" distL="114300" distR="114300" simplePos="0" relativeHeight="251665408" behindDoc="0" locked="0" layoutInCell="1" allowOverlap="1">
                <wp:simplePos x="0" y="0"/>
                <wp:positionH relativeFrom="column">
                  <wp:posOffset>-57150</wp:posOffset>
                </wp:positionH>
                <wp:positionV relativeFrom="paragraph">
                  <wp:posOffset>15875</wp:posOffset>
                </wp:positionV>
                <wp:extent cx="5652135" cy="323850"/>
                <wp:effectExtent l="0" t="15875" r="5715" b="22225"/>
                <wp:wrapNone/>
                <wp:docPr id="12" name="组合 1035"/>
                <wp:cNvGraphicFramePr/>
                <a:graphic xmlns:a="http://schemas.openxmlformats.org/drawingml/2006/main">
                  <a:graphicData uri="http://schemas.microsoft.com/office/word/2010/wordprocessingGroup">
                    <wpg:wgp>
                      <wpg:cNvGrpSpPr/>
                      <wpg:grpSpPr>
                        <a:xfrm rot="0">
                          <a:off x="0" y="0"/>
                          <a:ext cx="5652135" cy="323850"/>
                          <a:chOff x="0" y="0"/>
                          <a:chExt cx="8901" cy="510"/>
                        </a:xfrm>
                      </wpg:grpSpPr>
                      <wps:wsp>
                        <wps:cNvPr id="9" name="直线 1036"/>
                        <wps:cNvCnPr/>
                        <wps:spPr>
                          <a:xfrm>
                            <a:off x="0" y="237"/>
                            <a:ext cx="3960" cy="0"/>
                          </a:xfrm>
                          <a:prstGeom prst="line">
                            <a:avLst/>
                          </a:prstGeom>
                          <a:ln w="15875" cap="flat" cmpd="sng">
                            <a:solidFill>
                              <a:srgbClr val="FF0000">
                                <a:alpha val="100000"/>
                              </a:srgbClr>
                            </a:solidFill>
                            <a:prstDash val="solid"/>
                            <a:headEnd type="none" w="med" len="med"/>
                            <a:tailEnd type="none" w="med" len="med"/>
                          </a:ln>
                        </wps:spPr>
                        <wps:bodyPr upright="1"/>
                      </wps:wsp>
                      <wps:wsp>
                        <wps:cNvPr id="10" name="五角星 1037"/>
                        <wps:cNvSpPr/>
                        <wps:spPr>
                          <a:xfrm>
                            <a:off x="4246" y="0"/>
                            <a:ext cx="510" cy="510"/>
                          </a:xfrm>
                          <a:prstGeom prst="star5">
                            <a:avLst/>
                          </a:prstGeom>
                          <a:solidFill>
                            <a:srgbClr val="FF0000"/>
                          </a:solidFill>
                          <a:ln w="9525" cap="flat" cmpd="sng">
                            <a:solidFill>
                              <a:srgbClr val="FF0000">
                                <a:alpha val="100000"/>
                              </a:srgbClr>
                            </a:solidFill>
                            <a:prstDash val="solid"/>
                            <a:miter/>
                            <a:headEnd type="none" w="med" len="med"/>
                            <a:tailEnd type="none" w="med" len="med"/>
                          </a:ln>
                        </wps:spPr>
                        <wps:bodyPr lIns="36576" tIns="36576" rIns="36576" bIns="36576" upright="1"/>
                      </wps:wsp>
                      <wps:wsp>
                        <wps:cNvPr id="11" name="直线 1038"/>
                        <wps:cNvCnPr/>
                        <wps:spPr>
                          <a:xfrm>
                            <a:off x="4941" y="237"/>
                            <a:ext cx="3960" cy="0"/>
                          </a:xfrm>
                          <a:prstGeom prst="line">
                            <a:avLst/>
                          </a:prstGeom>
                          <a:ln w="15875" cap="flat" cmpd="sng">
                            <a:solidFill>
                              <a:srgbClr val="FF0000">
                                <a:alpha val="100000"/>
                              </a:srgbClr>
                            </a:solidFill>
                            <a:prstDash val="solid"/>
                            <a:headEnd type="none" w="med" len="med"/>
                            <a:tailEnd type="none" w="med" len="med"/>
                          </a:ln>
                        </wps:spPr>
                        <wps:bodyPr upright="1"/>
                      </wps:wsp>
                    </wpg:wgp>
                  </a:graphicData>
                </a:graphic>
              </wp:anchor>
            </w:drawing>
          </mc:Choice>
          <mc:Fallback>
            <w:pict>
              <v:group id="组合 1035" o:spid="_x0000_s1026" o:spt="203" style="position:absolute;left:0pt;margin-left:-4.5pt;margin-top:1.25pt;height:25.5pt;width:445.05pt;z-index:251665408;mso-width-relative:page;mso-height-relative:page;" coordsize="8901,510" o:gfxdata="UEsDBAoAAAAAAIdO4kAAAAAAAAAAAAAAAAAEAAAAZHJzL1BLAwQUAAAACACHTuJAgW9nrdgAAAAH&#10;AQAADwAAAGRycy9kb3ducmV2LnhtbE2PQUvDQBSE74L/YXmCt3azLZGY5qVIUU9FsBWkt9fsaxKa&#10;3Q3ZbdL+e9eTHocZZr4p1lfTiZEH3zqLoOYJCLaV062tEb72b7MMhA9kNXXOMsKNPazL+7uCcu0m&#10;+8njLtQillifE0ITQp9L6auGDfm569lG7+QGQyHKoZZ6oCmWm04ukuRJGmptXGio503D1Xl3MQjv&#10;E00vS/U6bs+nze2wTz++t4oRHx9UsgIR+Br+wvCLH9GhjExHd7Haiw5h9hyvBIRFCiLaWaYUiCNC&#10;ukxBloX8z1/+AFBLAwQUAAAACACHTuJA4Ujx+gkDAAD1CQAADgAAAGRycy9lMm9Eb2MueG1s7ZbN&#10;jtMwEMfvSLyDlTubJt1026jtHrbbFRKClRYewE2cxJJjW7bbtHcOHBHigMSBIy/AaTnwMsDyGIyd&#10;j227CFYgsRzoIYodezzzn99MPT5elwytiNJU8IkXHPQ8RHgiUsrziffs6fzB0EPaYJ5iJjiZeBui&#10;vePp/XvjSsYkFIVgKVEIjHAdV3LiFcbI2Pd1UpAS6wMhCYePmVAlNjBUuZ8qXIH1kvlhrzfwK6FS&#10;qURCtIbZWf3Rayyq2xgUWUYTMhPJsiTc1FYVYdhASLqgUntT522WkcQ8yTJNDGITDyI17gmHwPvC&#10;Pv3pGMe5wrKgSeMCvo0LezGVmHI4tDM1wwajpaI3TJU0UUKLzBwkovTrQJwiEEXQ29PmTImldLHk&#10;cZXLTnRI1J7qv202ebw6V4imQELoIY5LyPjVx+dfXr5AQa8fWX0qmcew7EzJC3mumom8HtmQ15kq&#10;kRJOWjuGoNDaKbzpFCZrgxKYjAZRGIBZlMC3ftgfRk0KkgLydGNbUpw2G4ejXlDvigK3xa8Pno59&#10;61/nTiWBSn0tlf4zqS4KLInLgLYaNFKNOqXefri6/GSVGtRKuVUnvJFJxxoUazW6oU3YP6r5a9Xp&#10;jwbApZVmN0QcS6XNGRElsi8Tj1FuvcIxXj3SBlICarRL7DTjqIKMRsMjKzWGKs2gOuC1lJBpzXO3&#10;WQtG0zllzG7RKl+cMIVWGCplPu/Brz6ByQLXs4GdbD1r1rujdwxZP2ZYF/Ue96mOsiA4PeUpMhsJ&#10;kHFoLp71siSphxiBXmTfXD0aTNltVkLUjDsCWqVt+hci3UCillLRvACxAmsUKHFgWJz/AiHAaFNM&#10;ny9ff3v/6uubd5YSl2/rALDUFVPrewt0V0GH4eHAQy0NOG4xsRXgKNkvhWsIGk6gj6voZ6DsZO5H&#10;CNRs7Syr4RpF4T/EVkkNUY6dv0wZe8ihxfQH0RGkymwP1PZgsT24WzKhjTZtvmteQ1shDZa/bl6H&#10;o0OwAVj+71930b/c/x3cBlznbW4u9rqxPXb97vq2Nv0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gW9nrdgAAAAHAQAADwAAAAAAAAABACAAAAAiAAAAZHJzL2Rvd25yZXYueG1sUEsBAhQAFAAAAAgA&#10;h07iQOFI8foJAwAA9QkAAA4AAAAAAAAAAQAgAAAAJwEAAGRycy9lMm9Eb2MueG1sUEsFBgAAAAAG&#10;AAYAWQEAAKIGAAAAAA==&#10;">
                <o:lock v:ext="edit" aspectratio="f"/>
                <v:line id="直线 1036" o:spid="_x0000_s1026" o:spt="20" style="position:absolute;left:0;top:237;height:0;width:3960;" filled="f" stroked="t" coordsize="21600,21600" o:gfxdata="UEsDBAoAAAAAAIdO4kAAAAAAAAAAAAAAAAAEAAAAZHJzL1BLAwQUAAAACACHTuJAFXuBMr0AAADa&#10;AAAADwAAAGRycy9kb3ducmV2LnhtbEWPQWvCQBSE74L/YXkFL6IbrbQ1ZuOhpbQnpanQ62P3mYRm&#10;38bsamx/vSsIHoeZ+YbJ1mfbiBN1vnasYDZNQBBrZ2ouFey+3ycvIHxANtg4JgV/5GGdDwcZpsb1&#10;/EWnIpQiQtinqKAKoU2l9Loii37qWuLo7V1nMUTZldJ02Ee4beQ8SZ6kxZrjQoUtvVakf4ujVcDP&#10;yw992P4EvZB978aP/xucvyk1epglKxCBzuEevrU/jYIlXK/EGyD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e4EyvQAA&#10;ANoAAAAPAAAAAAAAAAEAIAAAACIAAABkcnMvZG93bnJldi54bWxQSwECFAAUAAAACACHTuJAMy8F&#10;njsAAAA5AAAAEAAAAAAAAAABACAAAAAMAQAAZHJzL3NoYXBleG1sLnhtbFBLBQYAAAAABgAGAFsB&#10;AAC2AwAAAAA=&#10;">
                  <v:fill on="f" focussize="0,0"/>
                  <v:stroke weight="1.25pt" color="#FF0000" joinstyle="round"/>
                  <v:imagedata o:title=""/>
                  <o:lock v:ext="edit" aspectratio="f"/>
                </v:line>
                <v:shape id="五角星 1037" o:spid="_x0000_s1026" style="position:absolute;left:4246;top:0;height:510;width:510;" fillcolor="#FF0000" filled="t" stroked="t" coordsize="510,510" o:gfxdata="UEsDBAoAAAAAAIdO4kAAAAAAAAAAAAAAAAAEAAAAZHJzL1BLAwQUAAAACACHTuJA/Imu37sAAADb&#10;AAAADwAAAGRycy9kb3ducmV2LnhtbEWPzU4DMQyE70i8Q2QkbjRpD9AuTXsAIXFCaqHq1dqY3VUT&#10;Z5W4P7x9fajEzdaMZz4v15cUzYlKHTJ7mE4cGOI2h4E7Dz/fH09zMFWQA8bM5OGPKqxX93dLbEI+&#10;84ZOW+mMhnBt0EMvMjbW1ranhHWSR2LVfnNJKLqWzoaCZw1P0c6ce7YJB9aGHkd666k9bI/Jwy7K&#10;4fgSeUHhy71vZG7LbG+9f3yYulcwQhf5N9+uP4PiK73+ogPY1R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mu37sAAADb&#10;AAAADwAAAAAAAAABACAAAAAiAAAAZHJzL2Rvd25yZXYueG1sUEsBAhQAFAAAAAgAh07iQDMvBZ47&#10;AAAAOQAAABAAAAAAAAAAAQAgAAAACgEAAGRycy9zaGFwZXhtbC54bWxQSwUGAAAAAAYABgBbAQAA&#10;tAMAAAAA&#10;" path="m0,194l194,194,255,0,315,194,509,194,352,315,412,509,255,389,97,509,157,315xe">
                  <v:path o:connectlocs="255,0;0,194;97,509;412,509;509,194" o:connectangles="247,164,82,82,0"/>
                  <v:fill on="t" focussize="0,0"/>
                  <v:stroke color="#FF0000" joinstyle="miter"/>
                  <v:imagedata o:title=""/>
                  <o:lock v:ext="edit" aspectratio="f"/>
                  <v:textbox inset="1.016mm,1.016mm,1.016mm,1.016mm"/>
                </v:shape>
                <v:line id="直线 1038" o:spid="_x0000_s1026" o:spt="20" style="position:absolute;left:4941;top:237;height:0;width:3960;" filled="f" stroked="t" coordsize="21600,21600" o:gfxdata="UEsDBAoAAAAAAIdO4kAAAAAAAAAAAAAAAAAEAAAAZHJzL1BLAwQUAAAACACHTuJAIWJyLrwAAADb&#10;AAAADwAAAGRycy9kb3ducmV2LnhtbEVPTWvCQBC9F/wPyxR6KbqJlqppNh6UUk+KVvA67E6T0Oxs&#10;zG6N+uvdQqG3ebzPyRcX24gzdb52rCAdJSCItTM1lwoOn+/DGQgfkA02jknBlTwsisFDjplxPe/o&#10;vA+liCHsM1RQhdBmUnpdkUU/ci1x5L5cZzFE2JXSdNjHcNvIcZK8Sos1x4YKW1pWpL/3P1YBT+cf&#10;+rQ9Bv0i+949T24bHK+UenpMkzcQgS7hX/znXps4P4XfX+IBsr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ici68AAAA&#10;2wAAAA8AAAAAAAAAAQAgAAAAIgAAAGRycy9kb3ducmV2LnhtbFBLAQIUABQAAAAIAIdO4kAzLwWe&#10;OwAAADkAAAAQAAAAAAAAAAEAIAAAAAsBAABkcnMvc2hhcGV4bWwueG1sUEsFBgAAAAAGAAYAWwEA&#10;ALUDAAAAAA==&#10;">
                  <v:fill on="f" focussize="0,0"/>
                  <v:stroke weight="1.25pt" color="#FF0000" joinstyle="round"/>
                  <v:imagedata o:title=""/>
                  <o:lock v:ext="edit" aspectratio="f"/>
                </v:line>
              </v:group>
            </w:pict>
          </mc:Fallback>
        </mc:AlternateContent>
      </w:r>
    </w:p>
    <w:p w14:paraId="492B372D">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吉林工商学院2024年6月重点工作</w:t>
      </w:r>
    </w:p>
    <w:p w14:paraId="3C82E839">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督查落实情况通报</w:t>
      </w:r>
    </w:p>
    <w:p w14:paraId="64DD5FC1">
      <w:pPr>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p>
    <w:p w14:paraId="5CF9C4C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初</w:t>
      </w:r>
      <w:r>
        <w:rPr>
          <w:rFonts w:hint="default" w:ascii="Times New Roman" w:hAnsi="Times New Roman" w:eastAsia="仿宋_GB2312" w:cs="Times New Roman"/>
          <w:color w:val="auto"/>
          <w:sz w:val="32"/>
          <w:szCs w:val="32"/>
          <w:highlight w:val="none"/>
          <w:lang w:val="en-US" w:eastAsia="zh-CN"/>
        </w:rPr>
        <w:t>，学校印发了《吉林工商学院202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年工作要点》（吉工商院党字〔202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号）（以下简称“要点”），要点中明确了五大方面36项具体工作任务。</w:t>
      </w:r>
      <w:r>
        <w:rPr>
          <w:rFonts w:hint="eastAsia" w:eastAsia="仿宋_GB2312" w:cs="Times New Roman"/>
          <w:color w:val="auto"/>
          <w:sz w:val="32"/>
          <w:szCs w:val="32"/>
          <w:highlight w:val="none"/>
          <w:lang w:val="en-US" w:eastAsia="zh-CN"/>
        </w:rPr>
        <w:t>党委办公室、校长办公室</w:t>
      </w:r>
      <w:r>
        <w:rPr>
          <w:rFonts w:hint="default" w:ascii="Times New Roman" w:hAnsi="Times New Roman" w:eastAsia="仿宋_GB2312" w:cs="Times New Roman"/>
          <w:color w:val="auto"/>
          <w:sz w:val="32"/>
          <w:szCs w:val="32"/>
          <w:highlight w:val="none"/>
          <w:lang w:val="en-US" w:eastAsia="zh-CN"/>
        </w:rPr>
        <w:t>向36项具体工作任务的责任部门发布了</w:t>
      </w:r>
      <w:r>
        <w:rPr>
          <w:rFonts w:hint="eastAsia" w:eastAsia="仿宋_GB2312" w:cs="Times New Roman"/>
          <w:color w:val="auto"/>
          <w:sz w:val="32"/>
          <w:szCs w:val="32"/>
          <w:highlight w:val="none"/>
          <w:lang w:val="en-US" w:eastAsia="zh-CN"/>
        </w:rPr>
        <w:t>要点落实</w:t>
      </w:r>
      <w:r>
        <w:rPr>
          <w:rFonts w:hint="default" w:ascii="Times New Roman" w:hAnsi="Times New Roman" w:eastAsia="仿宋_GB2312" w:cs="Times New Roman"/>
          <w:color w:val="auto"/>
          <w:sz w:val="32"/>
          <w:szCs w:val="32"/>
          <w:highlight w:val="none"/>
          <w:lang w:val="en-US" w:eastAsia="zh-CN"/>
        </w:rPr>
        <w:t>情况督查督办通知，调度相关工作进展情况，推动学校年度重点工作任务落实落位。</w:t>
      </w:r>
      <w:r>
        <w:rPr>
          <w:rFonts w:hint="eastAsia" w:eastAsia="仿宋_GB2312" w:cs="Times New Roman"/>
          <w:color w:val="auto"/>
          <w:sz w:val="32"/>
          <w:szCs w:val="32"/>
          <w:highlight w:val="none"/>
          <w:lang w:val="en-US" w:eastAsia="zh-CN"/>
        </w:rPr>
        <w:t>6月重点工作督查落实</w:t>
      </w:r>
      <w:r>
        <w:rPr>
          <w:rFonts w:hint="default" w:ascii="Times New Roman" w:hAnsi="Times New Roman" w:eastAsia="仿宋_GB2312" w:cs="Times New Roman"/>
          <w:color w:val="auto"/>
          <w:sz w:val="32"/>
          <w:szCs w:val="32"/>
          <w:highlight w:val="none"/>
          <w:lang w:val="en-US" w:eastAsia="zh-CN"/>
        </w:rPr>
        <w:t>具体情况如下：</w:t>
      </w:r>
    </w:p>
    <w:p w14:paraId="0AC93BA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一、加强政治建设，提升党对学校工作的全面领导水平</w:t>
      </w:r>
    </w:p>
    <w:p w14:paraId="5701DDF2">
      <w:pPr>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rPr>
        <w:t>1.坚持不懈用习近平新时代中国特色社会主义思想凝心铸魂（党委宣传部，党委组织部，党委办公室、校长办公室，纪委，教务处，马克思主义学院）</w:t>
      </w:r>
      <w:r>
        <w:rPr>
          <w:rFonts w:hint="eastAsia" w:ascii="仿宋_GB2312" w:hAnsi="仿宋_GB2312" w:eastAsia="仿宋_GB2312" w:cs="仿宋_GB2312"/>
          <w:color w:val="auto"/>
          <w:sz w:val="32"/>
          <w:szCs w:val="32"/>
          <w:highlight w:val="none"/>
          <w:lang w:val="en-US" w:eastAsia="zh-CN"/>
        </w:rPr>
        <w:t>做好“狠抓落实年”主要任务的全面落实。落实“第一议题”制度，开展学习4次。扎实开展党纪学习教育专题读书班3次。制定《吉林工商学院党纪学习教育专题读书班自学安排》，持续组织做好全校教职工每双周学习，制作并印发《政治理论学习资料》。组织完成第二轮次《形势与政策》课程，校领导走进课堂，讲授《形势与政策》课程。持续开展课程思政师资培训工作，完成思政课程案例主题线下培训，参加培训教师35人。</w:t>
      </w:r>
    </w:p>
    <w:p w14:paraId="78E0F20E">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Segoe UI" w:eastAsia="仿宋_GB2312" w:cs="仿宋_GB2312"/>
          <w:i w:val="0"/>
          <w:iCs w:val="0"/>
          <w:caps w:val="0"/>
          <w:color w:val="auto"/>
          <w:spacing w:val="0"/>
          <w:sz w:val="32"/>
          <w:szCs w:val="32"/>
          <w:highlight w:val="none"/>
          <w:shd w:val="clear" w:fill="FFFFFF"/>
          <w:lang w:val="en-US" w:eastAsia="zh-CN"/>
        </w:rPr>
        <w:t>2.</w:t>
      </w:r>
      <w:r>
        <w:rPr>
          <w:rFonts w:hint="default" w:ascii="Times New Roman" w:hAnsi="Times New Roman" w:eastAsia="楷体" w:cs="Times New Roman"/>
          <w:color w:val="auto"/>
          <w:sz w:val="32"/>
          <w:szCs w:val="32"/>
          <w:highlight w:val="none"/>
          <w:lang w:val="en-US"/>
        </w:rPr>
        <w:t>全面加强党的政治建设和组织建设。</w:t>
      </w:r>
      <w:r>
        <w:rPr>
          <w:rFonts w:hint="default" w:ascii="Times New Roman" w:hAnsi="Times New Roman" w:eastAsia="楷体" w:cs="Times New Roman"/>
          <w:color w:val="auto"/>
          <w:sz w:val="32"/>
          <w:szCs w:val="32"/>
          <w:highlight w:val="none"/>
          <w:u w:val="none"/>
          <w:lang w:val="en-US"/>
        </w:rPr>
        <w:t>（党委组织部、</w:t>
      </w:r>
      <w:r>
        <w:rPr>
          <w:rFonts w:hint="eastAsia" w:eastAsia="楷体" w:cs="Times New Roman"/>
          <w:color w:val="auto"/>
          <w:sz w:val="32"/>
          <w:szCs w:val="32"/>
          <w:highlight w:val="none"/>
          <w:u w:val="none"/>
          <w:lang w:val="en-US" w:eastAsia="zh-CN"/>
        </w:rPr>
        <w:t>党委</w:t>
      </w:r>
      <w:r>
        <w:rPr>
          <w:rFonts w:hint="default" w:ascii="Times New Roman" w:hAnsi="Times New Roman" w:eastAsia="楷体" w:cs="Times New Roman"/>
          <w:color w:val="auto"/>
          <w:sz w:val="32"/>
          <w:szCs w:val="32"/>
          <w:highlight w:val="none"/>
          <w:u w:val="none"/>
          <w:lang w:val="en-US"/>
        </w:rPr>
        <w:t>办公室</w:t>
      </w:r>
      <w:r>
        <w:rPr>
          <w:rFonts w:hint="default" w:ascii="Times New Roman" w:hAnsi="Times New Roman" w:eastAsia="楷体" w:cs="Times New Roman"/>
          <w:color w:val="auto"/>
          <w:sz w:val="32"/>
          <w:szCs w:val="32"/>
          <w:highlight w:val="none"/>
          <w:lang w:val="en-US"/>
        </w:rPr>
        <w:t>、校长办公室</w:t>
      </w:r>
      <w:r>
        <w:rPr>
          <w:rFonts w:hint="default" w:ascii="Times New Roman" w:hAnsi="Times New Roman" w:eastAsia="楷体" w:cs="Times New Roman"/>
          <w:color w:val="auto"/>
          <w:sz w:val="32"/>
          <w:szCs w:val="32"/>
          <w:highlight w:val="none"/>
          <w:u w:val="none"/>
          <w:lang w:val="en-US"/>
        </w:rPr>
        <w:t>）</w:t>
      </w:r>
      <w:r>
        <w:rPr>
          <w:rFonts w:hint="eastAsia" w:ascii="仿宋_GB2312" w:hAnsi="仿宋_GB2312" w:eastAsia="仿宋_GB2312" w:cs="仿宋_GB2312"/>
          <w:color w:val="auto"/>
          <w:sz w:val="32"/>
          <w:szCs w:val="32"/>
          <w:highlight w:val="none"/>
          <w:lang w:val="en-US" w:eastAsia="zh-CN"/>
        </w:rPr>
        <w:t>做好“狠抓落实年”主要任务的全面落实，组织各院级党组织学习贯彻</w:t>
      </w:r>
      <w:r>
        <w:rPr>
          <w:rFonts w:hint="default" w:ascii="仿宋_GB2312" w:hAnsi="仿宋_GB2312" w:eastAsia="仿宋_GB2312" w:cs="仿宋_GB2312"/>
          <w:color w:val="auto"/>
          <w:sz w:val="32"/>
          <w:szCs w:val="32"/>
          <w:highlight w:val="none"/>
          <w:lang w:val="en-US" w:eastAsia="zh-CN"/>
        </w:rPr>
        <w:t>高校基层组织工作条例</w:t>
      </w:r>
      <w:r>
        <w:rPr>
          <w:rFonts w:hint="eastAsia" w:ascii="仿宋_GB2312" w:hAnsi="仿宋_GB2312" w:eastAsia="仿宋_GB2312" w:cs="仿宋_GB2312"/>
          <w:color w:val="auto"/>
          <w:sz w:val="32"/>
          <w:szCs w:val="32"/>
          <w:highlight w:val="none"/>
          <w:lang w:val="en-US" w:eastAsia="zh-CN"/>
        </w:rPr>
        <w:t>条例。进一步规范党委常委会、校长办公会有关议题征集及办理流程。进一步规范学校基层党支部名称。召开学校党建工作领导小组会议，部署当前和今后一个时期组织发展的工作重点和要求。发挥学校智慧党建基地的作用，选拔培训智慧党建基地学生讲解员。</w:t>
      </w:r>
    </w:p>
    <w:p w14:paraId="2800B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Segoe UI" w:eastAsia="仿宋_GB2312" w:cs="仿宋_GB2312"/>
          <w:i w:val="0"/>
          <w:iCs w:val="0"/>
          <w:caps w:val="0"/>
          <w:color w:val="auto"/>
          <w:spacing w:val="0"/>
          <w:sz w:val="32"/>
          <w:szCs w:val="32"/>
          <w:highlight w:val="none"/>
          <w:shd w:val="clear" w:fill="FFFFFF"/>
          <w:lang w:val="en-US" w:eastAsia="zh-CN"/>
        </w:rPr>
        <w:t>3.</w:t>
      </w:r>
      <w:r>
        <w:rPr>
          <w:rFonts w:hint="default" w:ascii="Times New Roman" w:hAnsi="Times New Roman" w:eastAsia="楷体" w:cs="Times New Roman"/>
          <w:color w:val="auto"/>
          <w:sz w:val="32"/>
          <w:szCs w:val="32"/>
          <w:highlight w:val="none"/>
          <w:lang w:val="en-US"/>
        </w:rPr>
        <w:t>坚定不移推进全面从严治党。</w:t>
      </w:r>
      <w:r>
        <w:rPr>
          <w:rFonts w:hint="default" w:ascii="仿宋_GB2312" w:hAnsi="Segoe UI" w:eastAsia="仿宋_GB2312" w:cs="仿宋_GB2312"/>
          <w:i w:val="0"/>
          <w:iCs w:val="0"/>
          <w:caps w:val="0"/>
          <w:color w:val="auto"/>
          <w:spacing w:val="0"/>
          <w:sz w:val="32"/>
          <w:szCs w:val="32"/>
          <w:highlight w:val="none"/>
          <w:shd w:val="clear" w:fill="FFFFFF"/>
          <w:lang w:val="en-US"/>
        </w:rPr>
        <w:t>（</w:t>
      </w:r>
      <w:r>
        <w:rPr>
          <w:rFonts w:hint="default" w:ascii="Times New Roman" w:hAnsi="Times New Roman" w:eastAsia="楷体" w:cs="Times New Roman"/>
          <w:color w:val="auto"/>
          <w:sz w:val="32"/>
          <w:szCs w:val="32"/>
          <w:highlight w:val="none"/>
          <w:u w:val="none"/>
          <w:lang w:val="en-US"/>
        </w:rPr>
        <w:t>纪委、党委巡察工作办公室、审计处）</w:t>
      </w:r>
      <w:r>
        <w:rPr>
          <w:rFonts w:hint="eastAsia" w:ascii="仿宋_GB2312" w:hAnsi="仿宋_GB2312" w:eastAsia="仿宋_GB2312" w:cs="仿宋_GB2312"/>
          <w:color w:val="auto"/>
          <w:sz w:val="32"/>
          <w:szCs w:val="32"/>
          <w:highlight w:val="none"/>
          <w:lang w:val="en-US" w:eastAsia="zh-CN"/>
        </w:rPr>
        <w:t>做好“狠抓落实年”主要任务的全面落实。</w:t>
      </w:r>
      <w:r>
        <w:rPr>
          <w:rFonts w:hint="eastAsia" w:ascii="仿宋_GB2312" w:hAnsi="仿宋_GB2312" w:eastAsia="仿宋_GB2312" w:cs="仿宋_GB2312"/>
          <w:color w:val="auto"/>
          <w:sz w:val="32"/>
          <w:szCs w:val="32"/>
          <w:lang w:val="en-US" w:eastAsia="zh-CN"/>
        </w:rPr>
        <w:t>推动各基层党组织开展警示教育和</w:t>
      </w:r>
      <w:r>
        <w:rPr>
          <w:rFonts w:hint="eastAsia" w:ascii="仿宋_GB2312" w:hAnsi="仿宋_GB2312" w:eastAsia="仿宋_GB2312" w:cs="仿宋_GB2312"/>
          <w:color w:val="auto"/>
          <w:sz w:val="32"/>
          <w:szCs w:val="32"/>
        </w:rPr>
        <w:t>廉政教育</w:t>
      </w:r>
      <w:r>
        <w:rPr>
          <w:rFonts w:hint="eastAsia" w:ascii="仿宋_GB2312" w:hAnsi="仿宋_GB2312" w:eastAsia="仿宋_GB2312" w:cs="仿宋_GB2312"/>
          <w:color w:val="auto"/>
          <w:sz w:val="32"/>
          <w:szCs w:val="32"/>
          <w:lang w:val="en-US" w:eastAsia="zh-CN"/>
        </w:rPr>
        <w:t>系列活动。加强日常监督，开展“学生餐”集中整治工作，</w:t>
      </w:r>
      <w:r>
        <w:rPr>
          <w:rFonts w:hint="eastAsia" w:ascii="仿宋_GB2312" w:hAnsi="仿宋_GB2312" w:eastAsia="仿宋_GB2312" w:cs="仿宋_GB2312"/>
          <w:color w:val="auto"/>
          <w:kern w:val="2"/>
          <w:sz w:val="32"/>
          <w:szCs w:val="32"/>
          <w:lang w:val="en-US" w:eastAsia="zh-CN" w:bidi="ar-SA"/>
        </w:rPr>
        <w:t>开展学生奖(助)学金评审发放专项监督检查工作</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对招标采购等重点领域开展日常监督检查5次，推进学校采购招标工作规范化。</w:t>
      </w:r>
      <w:r>
        <w:rPr>
          <w:rFonts w:hint="eastAsia" w:ascii="仿宋_GB2312" w:hAnsi="仿宋_GB2312" w:eastAsia="仿宋_GB2312" w:cs="仿宋_GB2312"/>
          <w:color w:val="auto"/>
          <w:sz w:val="32"/>
          <w:szCs w:val="32"/>
        </w:rPr>
        <w:t>邀请省委党校专家</w:t>
      </w:r>
      <w:r>
        <w:rPr>
          <w:rFonts w:hint="eastAsia" w:ascii="仿宋_GB2312" w:hAnsi="仿宋_GB2312" w:eastAsia="仿宋_GB2312" w:cs="仿宋_GB2312"/>
          <w:color w:val="auto"/>
          <w:sz w:val="32"/>
          <w:szCs w:val="32"/>
          <w:lang w:val="en-US" w:eastAsia="zh-CN"/>
        </w:rPr>
        <w:t>作党纪学习教育专题辅导报告，推动我校党纪学习教育走深走实。</w:t>
      </w:r>
      <w:r>
        <w:rPr>
          <w:rFonts w:hint="eastAsia" w:ascii="仿宋_GB2312" w:hAnsi="仿宋_GB2312" w:eastAsia="仿宋_GB2312" w:cs="仿宋_GB2312"/>
          <w:b w:val="0"/>
          <w:bCs w:val="0"/>
          <w:color w:val="auto"/>
          <w:kern w:val="2"/>
          <w:sz w:val="32"/>
          <w:szCs w:val="32"/>
          <w:lang w:val="en-US" w:eastAsia="zh-CN" w:bidi="ar-SA"/>
        </w:rPr>
        <w:t>组织学校党委班子成员赴吉林省教育系统廉政教育基地开展警示教育参观学习。</w:t>
      </w:r>
    </w:p>
    <w:p w14:paraId="4D33FF4A">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楷体" w:cs="Times New Roman"/>
          <w:color w:val="auto"/>
          <w:sz w:val="32"/>
          <w:szCs w:val="32"/>
          <w:highlight w:val="none"/>
          <w:u w:val="none"/>
          <w:lang w:val="en-US" w:eastAsia="zh-CN"/>
        </w:rPr>
        <w:t>4.</w:t>
      </w:r>
      <w:r>
        <w:rPr>
          <w:rFonts w:hint="default" w:ascii="Times New Roman" w:hAnsi="Times New Roman" w:eastAsia="楷体" w:cs="Times New Roman"/>
          <w:color w:val="auto"/>
          <w:sz w:val="32"/>
          <w:szCs w:val="32"/>
          <w:highlight w:val="none"/>
          <w:u w:val="none"/>
          <w:lang w:val="en-US"/>
        </w:rPr>
        <w:t>切实维护政治安全和意识形态领域安全。（党委宣传部、党委统战部）</w:t>
      </w:r>
      <w:r>
        <w:rPr>
          <w:rFonts w:hint="eastAsia" w:ascii="仿宋_GB2312" w:hAnsi="仿宋_GB2312" w:eastAsia="仿宋_GB2312" w:cs="仿宋_GB2312"/>
          <w:color w:val="auto"/>
          <w:kern w:val="2"/>
          <w:sz w:val="32"/>
          <w:szCs w:val="32"/>
          <w:lang w:val="en-US" w:eastAsia="zh-CN" w:bidi="ar-SA"/>
        </w:rPr>
        <w:t>贯彻落实“狠抓落实年”主要任务。周密安排部署，扎实开展学校教育领域涉有关情况书面调研，不断提高防范化解风险隐患意识。规范学校网站建设，筑牢校园网络安全防线。发挥线上“舆情通”等舆情软件监测作用，推测舆情反应，防患未然。</w:t>
      </w:r>
    </w:p>
    <w:p w14:paraId="63C43BDE">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5.</w:t>
      </w:r>
      <w:r>
        <w:rPr>
          <w:rFonts w:hint="default" w:ascii="Times New Roman" w:hAnsi="Times New Roman" w:eastAsia="楷体" w:cs="Times New Roman"/>
          <w:color w:val="auto"/>
          <w:sz w:val="32"/>
          <w:szCs w:val="32"/>
          <w:highlight w:val="none"/>
          <w:u w:val="none"/>
          <w:lang w:val="en-US"/>
        </w:rPr>
        <w:t>不断加强干部队伍建设。（党委组织部）</w:t>
      </w:r>
      <w:r>
        <w:rPr>
          <w:rFonts w:hint="default" w:ascii="仿宋_GB2312" w:hAnsi="仿宋_GB2312" w:eastAsia="仿宋_GB2312" w:cs="仿宋_GB2312"/>
          <w:color w:val="auto"/>
          <w:sz w:val="32"/>
          <w:szCs w:val="32"/>
          <w:highlight w:val="none"/>
          <w:lang w:val="en-US" w:eastAsia="zh-CN"/>
        </w:rPr>
        <w:t>开展2024年青年教学骨干校内挂职锻炼工作；</w:t>
      </w:r>
      <w:r>
        <w:rPr>
          <w:rFonts w:hint="eastAsia" w:ascii="仿宋_GB2312" w:hAnsi="仿宋_GB2312" w:eastAsia="仿宋_GB2312" w:cs="仿宋_GB2312"/>
          <w:color w:val="auto"/>
          <w:sz w:val="32"/>
          <w:szCs w:val="32"/>
          <w:highlight w:val="none"/>
          <w:lang w:val="en-US" w:eastAsia="zh-CN"/>
        </w:rPr>
        <w:t>按需</w:t>
      </w:r>
      <w:r>
        <w:rPr>
          <w:rFonts w:hint="default" w:ascii="仿宋_GB2312" w:hAnsi="仿宋_GB2312" w:eastAsia="仿宋_GB2312" w:cs="仿宋_GB2312"/>
          <w:color w:val="auto"/>
          <w:sz w:val="32"/>
          <w:szCs w:val="32"/>
          <w:highlight w:val="none"/>
          <w:lang w:val="en-US" w:eastAsia="zh-CN"/>
        </w:rPr>
        <w:t>设立院长助理；选派干部到边境村工作；对照优秀青年干部配备计划进行分析研判，增强干部选配工作的主动性</w:t>
      </w:r>
      <w:r>
        <w:rPr>
          <w:rFonts w:hint="eastAsia" w:ascii="仿宋_GB2312" w:hAnsi="仿宋_GB2312" w:eastAsia="仿宋_GB2312" w:cs="仿宋_GB2312"/>
          <w:color w:val="auto"/>
          <w:sz w:val="32"/>
          <w:szCs w:val="32"/>
          <w:highlight w:val="none"/>
          <w:lang w:val="en-US" w:eastAsia="zh-CN"/>
        </w:rPr>
        <w:t>。</w:t>
      </w:r>
    </w:p>
    <w:p w14:paraId="6E09A44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楷体" w:cs="Times New Roman"/>
          <w:color w:val="auto"/>
          <w:sz w:val="32"/>
          <w:szCs w:val="32"/>
          <w:highlight w:val="none"/>
          <w:u w:val="none"/>
          <w:lang w:val="en-US" w:eastAsia="zh-CN"/>
        </w:rPr>
        <w:t>6.</w:t>
      </w:r>
      <w:r>
        <w:rPr>
          <w:rFonts w:hint="default" w:ascii="Times New Roman" w:hAnsi="Times New Roman" w:eastAsia="楷体" w:cs="Times New Roman"/>
          <w:color w:val="auto"/>
          <w:sz w:val="32"/>
          <w:szCs w:val="32"/>
          <w:highlight w:val="none"/>
          <w:u w:val="none"/>
          <w:lang w:val="en-US"/>
        </w:rPr>
        <w:t>持续加强人才队伍建设。（党委组织部，党委教师工作部、人力资源处，教务处、教师教学发展中心，党委学生工作部、学生工作处）</w:t>
      </w:r>
      <w:r>
        <w:rPr>
          <w:rFonts w:hint="eastAsia" w:ascii="仿宋_GB2312" w:hAnsi="仿宋_GB2312" w:eastAsia="仿宋_GB2312" w:cs="仿宋_GB2312"/>
          <w:color w:val="auto"/>
          <w:kern w:val="2"/>
          <w:sz w:val="32"/>
          <w:szCs w:val="32"/>
          <w:lang w:val="en-US" w:eastAsia="zh-CN" w:bidi="ar-SA"/>
        </w:rPr>
        <w:t>开展公开招聘工作，招聘岗位26个，通过面试32人，正在办理入职手续。持续开展新进教师教学能力培训。选派2名辅导员参加高校辅导员心理健康教育基本知识和技能培训班；举办学工干部专题培训暨2024年第三期辅导员能力提升培训班。</w:t>
      </w:r>
    </w:p>
    <w:p w14:paraId="3D738A1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楷体" w:cs="Times New Roman"/>
          <w:color w:val="auto"/>
          <w:sz w:val="32"/>
          <w:szCs w:val="32"/>
          <w:highlight w:val="none"/>
          <w:u w:val="none"/>
          <w:lang w:val="en-US" w:eastAsia="zh-CN"/>
        </w:rPr>
        <w:t>7.</w:t>
      </w:r>
      <w:r>
        <w:rPr>
          <w:rFonts w:hint="default" w:ascii="Times New Roman" w:hAnsi="Times New Roman" w:eastAsia="楷体" w:cs="Times New Roman"/>
          <w:color w:val="auto"/>
          <w:sz w:val="32"/>
          <w:szCs w:val="32"/>
          <w:highlight w:val="none"/>
          <w:u w:val="none"/>
          <w:lang w:val="en-US"/>
        </w:rPr>
        <w:t>扎实开展统战群团和离退休工作。（党委统战部，工会、妇委会，团委，离退休工作处）</w:t>
      </w:r>
      <w:r>
        <w:rPr>
          <w:rFonts w:hint="eastAsia" w:ascii="仿宋_GB2312" w:hAnsi="仿宋_GB2312" w:eastAsia="仿宋_GB2312" w:cs="仿宋_GB2312"/>
          <w:color w:val="auto"/>
          <w:kern w:val="2"/>
          <w:sz w:val="32"/>
          <w:szCs w:val="32"/>
          <w:lang w:val="en-US" w:eastAsia="zh-CN" w:bidi="ar-SA"/>
        </w:rPr>
        <w:t>组织开展2024年治理非法宗教活动和抵御境外基督教渗透专项行动，形成《吉林工商学院关于加强非法宗教活动治理工作和开展抵御境外基督教渗透专项行动中期报告》，进一步强化底线思维和风险意识，有效防范化解涉教育非法宗教问题和风险隐患。</w:t>
      </w:r>
    </w:p>
    <w:p w14:paraId="62E7CBBC">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8.</w:t>
      </w:r>
      <w:r>
        <w:rPr>
          <w:rFonts w:hint="default" w:ascii="Times New Roman" w:hAnsi="Times New Roman" w:eastAsia="楷体" w:cs="Times New Roman"/>
          <w:color w:val="auto"/>
          <w:sz w:val="32"/>
          <w:szCs w:val="32"/>
          <w:highlight w:val="none"/>
          <w:u w:val="none"/>
          <w:lang w:val="en-US"/>
        </w:rPr>
        <w:t>扎实推动乡村振兴工作。（乡村振兴帮扶工作领导小组）</w:t>
      </w:r>
      <w:r>
        <w:rPr>
          <w:rFonts w:hint="default" w:ascii="仿宋_GB2312" w:hAnsi="仿宋_GB2312" w:eastAsia="仿宋_GB2312" w:cs="仿宋_GB2312"/>
          <w:color w:val="auto"/>
          <w:sz w:val="32"/>
          <w:szCs w:val="32"/>
          <w:highlight w:val="none"/>
          <w:lang w:val="en-US"/>
        </w:rPr>
        <w:t>召开助力乡村振兴工作推进会，听取驻村工作队3-5月份工作汇报，研</w:t>
      </w:r>
      <w:r>
        <w:rPr>
          <w:rFonts w:hint="default" w:ascii="仿宋_GB2312" w:hAnsi="仿宋_GB2312" w:eastAsia="仿宋_GB2312" w:cs="仿宋_GB2312"/>
          <w:color w:val="auto"/>
          <w:sz w:val="32"/>
          <w:szCs w:val="32"/>
          <w:highlight w:val="none"/>
          <w:lang w:val="en-US" w:eastAsia="zh-CN"/>
        </w:rPr>
        <w:t>究工作推进</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继续统筹推进文化赋能助力乡村振兴工作项目。积极协调引进中小学营养配餐企业落户八二村，实现八二村产业项目新突破。</w:t>
      </w:r>
    </w:p>
    <w:p w14:paraId="1E8A6059">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rPr>
      </w:pPr>
      <w:r>
        <w:rPr>
          <w:rFonts w:hint="default" w:ascii="Times New Roman" w:hAnsi="Times New Roman" w:eastAsia="黑体" w:cs="Times New Roman"/>
          <w:color w:val="auto"/>
          <w:sz w:val="32"/>
          <w:szCs w:val="32"/>
          <w:highlight w:val="none"/>
          <w:u w:val="none"/>
          <w:lang w:val="en-US"/>
        </w:rPr>
        <w:t>二、落实立德树人根本任务，提升德智体美劳人才培养的能力和水平</w:t>
      </w:r>
    </w:p>
    <w:p w14:paraId="6BF2B23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楷体" w:cs="Times New Roman"/>
          <w:color w:val="auto"/>
          <w:sz w:val="32"/>
          <w:szCs w:val="32"/>
          <w:highlight w:val="none"/>
          <w:u w:val="none"/>
          <w:lang w:val="en-US" w:eastAsia="zh-CN"/>
        </w:rPr>
        <w:t>9.</w:t>
      </w:r>
      <w:r>
        <w:rPr>
          <w:rFonts w:hint="default" w:ascii="Times New Roman" w:hAnsi="Times New Roman" w:eastAsia="楷体" w:cs="Times New Roman"/>
          <w:color w:val="auto"/>
          <w:sz w:val="32"/>
          <w:szCs w:val="32"/>
          <w:highlight w:val="none"/>
          <w:u w:val="none"/>
          <w:lang w:val="en-US"/>
        </w:rPr>
        <w:t>做好本科教育教学审核评估。（评建工作办公室，评建专项工作组，各部门，各单位）</w:t>
      </w:r>
      <w:r>
        <w:rPr>
          <w:rFonts w:hint="eastAsia" w:ascii="仿宋_GB2312" w:hAnsi="仿宋_GB2312" w:eastAsia="仿宋_GB2312" w:cs="仿宋_GB2312"/>
          <w:color w:val="auto"/>
          <w:sz w:val="32"/>
          <w:szCs w:val="32"/>
          <w:lang w:val="en-US" w:eastAsia="zh-CN"/>
        </w:rPr>
        <w:t>召开本科教育教学审核评估自评自建工作汇报暨迎评启动会、本科教育教学审核评估工作推进会，扎实有效推进审核评估迎评准备工作。各教学单位成立迎评工作组、制定迎评工作流程，将各环节工作落实到人，谋划开展精彩一课（观摩）、调阅材料、座谈访谈、考察走访和环境美化与亮化等工作。完成自评报告第一稿撰写。</w:t>
      </w:r>
    </w:p>
    <w:p w14:paraId="25ADD1A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rPr>
        <w:t>10.优化学科专业布局。（教务处，学科建设办公室，各教学单位）</w:t>
      </w:r>
      <w:r>
        <w:rPr>
          <w:rFonts w:hint="eastAsia" w:ascii="仿宋_GB2312" w:hAnsi="仿宋_GB2312" w:eastAsia="仿宋_GB2312" w:cs="仿宋_GB2312"/>
          <w:color w:val="auto"/>
          <w:sz w:val="32"/>
          <w:szCs w:val="32"/>
          <w:lang w:val="en-US" w:eastAsia="zh-CN"/>
        </w:rPr>
        <w:t>制定了“特色学科专业强化工程”实施方案，在做强财经类学科专业的基础上，突出“粮食”“餐旅”特色优势，促进学科专业布局优化调整。</w:t>
      </w:r>
    </w:p>
    <w:p w14:paraId="0D9FD9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eastAsia="zh-CN"/>
        </w:rPr>
        <w:t>11.</w:t>
      </w:r>
      <w:r>
        <w:rPr>
          <w:rFonts w:hint="default" w:ascii="Times New Roman" w:hAnsi="Times New Roman" w:eastAsia="楷体" w:cs="Times New Roman"/>
          <w:color w:val="auto"/>
          <w:sz w:val="32"/>
          <w:szCs w:val="32"/>
          <w:highlight w:val="none"/>
          <w:u w:val="none"/>
          <w:lang w:val="en-US"/>
        </w:rPr>
        <w:t>推动申硕立项建设。（学科建设办公室，硕士授权立项建设依托单位）</w:t>
      </w:r>
      <w:r>
        <w:rPr>
          <w:rFonts w:hint="default" w:eastAsia="仿宋_GB2312" w:cs="Times New Roman"/>
          <w:color w:val="auto"/>
          <w:sz w:val="32"/>
          <w:szCs w:val="32"/>
          <w:highlight w:val="none"/>
          <w:u w:val="none"/>
          <w:lang w:val="en-US" w:eastAsia="zh-CN"/>
        </w:rPr>
        <w:t>组织召开“硕士学位授予单位立项建设工作调度推进会”，</w:t>
      </w:r>
      <w:r>
        <w:rPr>
          <w:rFonts w:hint="eastAsia" w:eastAsia="仿宋_GB2312" w:cs="Times New Roman"/>
          <w:color w:val="auto"/>
          <w:sz w:val="32"/>
          <w:szCs w:val="32"/>
          <w:highlight w:val="none"/>
          <w:u w:val="none"/>
          <w:lang w:val="en-US" w:eastAsia="zh-CN"/>
        </w:rPr>
        <w:t>组织召开“申硕立项工作专家指导会”，与吉林财经大学组成专家团队，进行面对面、点对点的指导，助力申硕立项工作的顺利进行。</w:t>
      </w:r>
    </w:p>
    <w:p w14:paraId="6BBC07E5">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eastAsia="zh-CN"/>
        </w:rPr>
        <w:t>12.推动思想政治工作高质量发展。</w:t>
      </w:r>
      <w:r>
        <w:rPr>
          <w:rFonts w:hint="eastAsia" w:eastAsia="楷体" w:cs="Times New Roman"/>
          <w:color w:val="auto"/>
          <w:sz w:val="32"/>
          <w:szCs w:val="32"/>
          <w:highlight w:val="none"/>
          <w:u w:val="none"/>
          <w:lang w:val="en-US" w:eastAsia="zh-CN"/>
        </w:rPr>
        <w:t>（党委宣传部，党委学生工作部、学生工作处，马克思主义学院，各部门，各单位）</w:t>
      </w:r>
      <w:r>
        <w:rPr>
          <w:rFonts w:hint="eastAsia" w:ascii="仿宋_GB2312" w:hAnsi="仿宋_GB2312" w:eastAsia="仿宋_GB2312" w:cs="仿宋_GB2312"/>
          <w:color w:val="auto"/>
          <w:kern w:val="0"/>
          <w:sz w:val="32"/>
          <w:szCs w:val="32"/>
        </w:rPr>
        <w:t>召开</w:t>
      </w:r>
      <w:r>
        <w:rPr>
          <w:rFonts w:hint="eastAsia" w:ascii="仿宋_GB2312" w:hAnsi="仿宋_GB2312" w:eastAsia="仿宋_GB2312" w:cs="仿宋_GB2312"/>
          <w:color w:val="auto"/>
          <w:kern w:val="0"/>
          <w:sz w:val="32"/>
          <w:szCs w:val="32"/>
          <w:lang w:val="en-US" w:eastAsia="zh-CN"/>
        </w:rPr>
        <w:t>专项</w:t>
      </w:r>
      <w:r>
        <w:rPr>
          <w:rFonts w:hint="eastAsia" w:ascii="仿宋_GB2312" w:hAnsi="仿宋_GB2312" w:eastAsia="仿宋_GB2312" w:cs="仿宋_GB2312"/>
          <w:color w:val="auto"/>
          <w:kern w:val="0"/>
          <w:sz w:val="32"/>
          <w:szCs w:val="32"/>
        </w:rPr>
        <w:t>会议对领导干部深入基层联系学生工作进行部署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积极</w:t>
      </w:r>
      <w:r>
        <w:rPr>
          <w:rFonts w:hint="eastAsia" w:ascii="仿宋_GB2312" w:hAnsi="仿宋_GB2312" w:eastAsia="仿宋_GB2312" w:cs="仿宋_GB2312"/>
          <w:color w:val="auto"/>
          <w:kern w:val="0"/>
          <w:sz w:val="32"/>
          <w:szCs w:val="32"/>
        </w:rPr>
        <w:t>落实立德树人根本任务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推动学校领导干部作风建设。</w:t>
      </w:r>
    </w:p>
    <w:p w14:paraId="478D89B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3</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持续完善育人体系。（教务处，美育文化中心，实验实训管理中心，各教学单位）</w:t>
      </w:r>
      <w:r>
        <w:rPr>
          <w:rFonts w:hint="default" w:ascii="仿宋_GB2312" w:hAnsi="仿宋_GB2312" w:eastAsia="仿宋_GB2312" w:cs="仿宋_GB2312"/>
          <w:color w:val="auto"/>
          <w:sz w:val="32"/>
          <w:szCs w:val="32"/>
          <w:lang w:val="en-US" w:eastAsia="zh-CN"/>
        </w:rPr>
        <w:t>完成了2024版人才培养方案的修订工作和审核工作</w:t>
      </w:r>
      <w:r>
        <w:rPr>
          <w:rFonts w:hint="eastAsia" w:ascii="仿宋_GB2312" w:hAnsi="仿宋_GB2312" w:eastAsia="仿宋_GB2312" w:cs="仿宋_GB2312"/>
          <w:color w:val="auto"/>
          <w:sz w:val="32"/>
          <w:szCs w:val="32"/>
          <w:lang w:val="en-US" w:eastAsia="zh-CN"/>
        </w:rPr>
        <w:t>，完成第一批学校“行业企业课程库”、“真实项目案例库”的申报和建设工作。</w:t>
      </w:r>
    </w:p>
    <w:p w14:paraId="634890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ascii="Times New Roman" w:hAnsi="Times New Roman" w:eastAsia="楷体" w:cs="Times New Roman"/>
          <w:color w:val="auto"/>
          <w:sz w:val="32"/>
          <w:szCs w:val="32"/>
          <w:highlight w:val="none"/>
          <w:u w:val="none"/>
          <w:lang w:val="en-US" w:eastAsia="zh-CN"/>
        </w:rPr>
        <w:t>4</w:t>
      </w:r>
      <w:r>
        <w:rPr>
          <w:rFonts w:hint="default" w:ascii="Times New Roman" w:hAnsi="Times New Roman" w:eastAsia="楷体" w:cs="Times New Roman"/>
          <w:color w:val="auto"/>
          <w:sz w:val="32"/>
          <w:szCs w:val="32"/>
          <w:highlight w:val="none"/>
          <w:u w:val="none"/>
          <w:lang w:val="en-US" w:eastAsia="zh-CN"/>
        </w:rPr>
        <w:t>.加强教学管理和教学质量监控。（教务处，教学质量监控与评价中心，各教学单位）</w:t>
      </w:r>
      <w:r>
        <w:rPr>
          <w:rFonts w:hint="eastAsia" w:ascii="仿宋_GB2312" w:hAnsi="仿宋_GB2312" w:eastAsia="仿宋_GB2312" w:cs="仿宋_GB2312"/>
          <w:color w:val="auto"/>
          <w:sz w:val="32"/>
          <w:szCs w:val="32"/>
          <w:highlight w:val="none"/>
          <w:lang w:val="en-US" w:eastAsia="zh-CN"/>
        </w:rPr>
        <w:t>修订完善了教学管理制度,完成本学期校院两级督导听巡课工作，完成2023届毕业论文回头看检查评价工作。按照课程标准要求，重点检查课程的思政目标设立情况.</w:t>
      </w:r>
    </w:p>
    <w:p w14:paraId="5E638C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5</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强化实践教学过程管理。（教务处，教学质量监控与评价中心，实验实训管理中心，各教学单位）</w:t>
      </w:r>
      <w:r>
        <w:rPr>
          <w:rFonts w:hint="eastAsia" w:ascii="仿宋_GB2312" w:hAnsi="仿宋_GB2312" w:eastAsia="仿宋_GB2312" w:cs="仿宋_GB2312"/>
          <w:color w:val="auto"/>
          <w:sz w:val="32"/>
          <w:szCs w:val="32"/>
          <w:highlight w:val="none"/>
          <w:lang w:val="en-US" w:eastAsia="zh-CN"/>
        </w:rPr>
        <w:t>完成2023年毕业论文（设计）整改工作。完成我校“1+X”省级平台的审核认定工作。开展“双师型”教师认定工作。巩固校外实习实训基地建设，持续完善相关协议。</w:t>
      </w:r>
    </w:p>
    <w:p w14:paraId="6EB9402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6</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强化课程与教材建设。（教务处</w:t>
      </w:r>
      <w:r>
        <w:rPr>
          <w:rFonts w:hint="eastAsia"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各教学单位）</w:t>
      </w:r>
      <w:r>
        <w:rPr>
          <w:rFonts w:hint="eastAsia" w:ascii="仿宋_GB2312" w:hAnsi="仿宋_GB2312" w:eastAsia="仿宋_GB2312" w:cs="仿宋_GB2312"/>
          <w:color w:val="auto"/>
          <w:sz w:val="32"/>
          <w:szCs w:val="32"/>
          <w:highlight w:val="none"/>
          <w:lang w:val="en-US" w:eastAsia="zh-CN"/>
        </w:rPr>
        <w:t>持续加强落实马工程教材内容进教学大纲、进教案、进考试内容，加强编写教材研讨工作。完成13个教学单位2024-2025学年第一学期老生的1455本教材的征订和下发工作，严格落实马工程教材使用规定，确保马工程教材的使用率和覆盖率达到100%。</w:t>
      </w:r>
    </w:p>
    <w:p w14:paraId="735A0D7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7</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持续推进创新创业教育。（实验实训管理中心、各教学学院）</w:t>
      </w:r>
      <w:r>
        <w:rPr>
          <w:rFonts w:hint="eastAsia" w:ascii="仿宋_GB2312" w:hAnsi="仿宋_GB2312" w:eastAsia="仿宋_GB2312" w:cs="仿宋_GB2312"/>
          <w:color w:val="auto"/>
          <w:sz w:val="32"/>
          <w:szCs w:val="32"/>
          <w:highlight w:val="none"/>
          <w:lang w:val="en-US" w:eastAsia="zh-CN"/>
        </w:rPr>
        <w:t>推动政校企协同攻关，加快推进“吉林工商学院大学生就业创业指导服务站”建设工作。加快推进吉林工商学院 2024年中国国际大学生创新大赛相关工作。</w:t>
      </w:r>
    </w:p>
    <w:p w14:paraId="1AE9B7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8.</w:t>
      </w:r>
      <w:r>
        <w:rPr>
          <w:rFonts w:hint="default" w:ascii="Times New Roman" w:hAnsi="Times New Roman" w:eastAsia="楷体" w:cs="Times New Roman"/>
          <w:color w:val="auto"/>
          <w:sz w:val="32"/>
          <w:szCs w:val="32"/>
          <w:highlight w:val="none"/>
          <w:u w:val="none"/>
          <w:lang w:val="en-US"/>
        </w:rPr>
        <w:t>完善学生管理服务。（党委学生工作部、学生工作处，团委，各教学学院）</w:t>
      </w:r>
      <w:r>
        <w:rPr>
          <w:rFonts w:hint="eastAsia" w:ascii="仿宋_GB2312" w:hAnsi="仿宋_GB2312" w:eastAsia="仿宋_GB2312" w:cs="仿宋_GB2312"/>
          <w:color w:val="auto"/>
          <w:sz w:val="32"/>
          <w:szCs w:val="32"/>
          <w:highlight w:val="none"/>
          <w:lang w:val="en-US" w:eastAsia="zh-CN"/>
        </w:rPr>
        <w:t>学校党委领导为青马工程、“学习筑梦”班学员做专题理论辅导。召开“一站式”学生社区建设工作推进会，开展“寻根问道忆初心”党史小课堂等活动，建立学风建设工作室。推出学院风采活动，制定《吉林工商学院“典耀中华”主题读书行动活动方案》，鼓励学生品读经典，认真读书学习；落实</w:t>
      </w:r>
      <w:r>
        <w:rPr>
          <w:rFonts w:hint="default" w:ascii="仿宋_GB2312" w:hAnsi="仿宋_GB2312" w:eastAsia="仿宋_GB2312" w:cs="仿宋_GB2312"/>
          <w:color w:val="auto"/>
          <w:sz w:val="32"/>
          <w:szCs w:val="32"/>
          <w:highlight w:val="none"/>
          <w:lang w:val="en-US" w:eastAsia="zh-CN"/>
        </w:rPr>
        <w:t>“狠抓落实年”主要任务</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加强少数民族学生教育管理服务工作</w:t>
      </w:r>
      <w:r>
        <w:rPr>
          <w:rFonts w:hint="eastAsia" w:ascii="仿宋_GB2312" w:hAnsi="仿宋_GB2312" w:eastAsia="仿宋_GB2312" w:cs="仿宋_GB2312"/>
          <w:color w:val="auto"/>
          <w:sz w:val="32"/>
          <w:szCs w:val="32"/>
          <w:highlight w:val="none"/>
          <w:lang w:val="en-US" w:eastAsia="zh-CN"/>
        </w:rPr>
        <w:t>，针对新疆籍少数民族学生进行专项就业指导，宣传留吉就业政策。</w:t>
      </w:r>
    </w:p>
    <w:p w14:paraId="6977FFFD">
      <w:pPr>
        <w:keepNext w:val="0"/>
        <w:keepLines w:val="0"/>
        <w:widowControl/>
        <w:suppressLineNumbers w:val="0"/>
        <w:ind w:firstLine="640" w:firstLineChars="200"/>
        <w:jc w:val="left"/>
        <w:rPr>
          <w:rFonts w:hint="eastAsia" w:ascii="仿宋_GB2312" w:hAnsi="宋体" w:eastAsia="仿宋_GB2312" w:cs="仿宋_GB2312"/>
          <w:i w:val="0"/>
          <w:iCs w:val="0"/>
          <w:caps w:val="0"/>
          <w:color w:val="0000FF"/>
          <w:spacing w:val="0"/>
          <w:kern w:val="2"/>
          <w:sz w:val="32"/>
          <w:szCs w:val="32"/>
          <w:shd w:val="clear" w:fill="FFFFFF"/>
          <w:lang w:val="en-US" w:eastAsia="zh-CN" w:bidi="ar-SA"/>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9</w:t>
      </w:r>
      <w:r>
        <w:rPr>
          <w:rFonts w:hint="default" w:ascii="Times New Roman" w:hAnsi="Times New Roman" w:eastAsia="楷体" w:cs="Times New Roman"/>
          <w:color w:val="auto"/>
          <w:sz w:val="32"/>
          <w:szCs w:val="32"/>
          <w:highlight w:val="none"/>
          <w:u w:val="none"/>
          <w:lang w:val="en-US" w:eastAsia="zh-CN"/>
        </w:rPr>
        <w:t>.</w:t>
      </w:r>
      <w:r>
        <w:rPr>
          <w:rFonts w:hint="eastAsia" w:eastAsia="楷体" w:cs="Times New Roman"/>
          <w:color w:val="auto"/>
          <w:sz w:val="32"/>
          <w:szCs w:val="32"/>
          <w:highlight w:val="none"/>
          <w:u w:val="none"/>
          <w:lang w:val="en-US" w:eastAsia="zh-CN"/>
        </w:rPr>
        <w:t>提升</w:t>
      </w:r>
      <w:r>
        <w:rPr>
          <w:rFonts w:hint="default" w:ascii="Times New Roman" w:hAnsi="Times New Roman" w:eastAsia="楷体" w:cs="Times New Roman"/>
          <w:color w:val="auto"/>
          <w:sz w:val="32"/>
          <w:szCs w:val="32"/>
          <w:highlight w:val="none"/>
          <w:u w:val="none"/>
          <w:lang w:val="en-US"/>
        </w:rPr>
        <w:t>招生工作质量。（</w:t>
      </w:r>
      <w:r>
        <w:rPr>
          <w:rFonts w:hint="default" w:ascii="Times New Roman" w:hAnsi="Times New Roman" w:eastAsia="楷体" w:cs="Times New Roman"/>
          <w:color w:val="auto"/>
          <w:sz w:val="32"/>
          <w:szCs w:val="32"/>
          <w:highlight w:val="none"/>
          <w:u w:val="none"/>
          <w:lang w:val="en-US" w:eastAsia="zh-CN"/>
        </w:rPr>
        <w:t>教务处、招生工作办公室，继续教育学院</w:t>
      </w:r>
      <w:r>
        <w:rPr>
          <w:rFonts w:hint="default" w:ascii="Times New Roman" w:hAnsi="Times New Roman" w:eastAsia="楷体" w:cs="Times New Roman"/>
          <w:color w:val="auto"/>
          <w:sz w:val="32"/>
          <w:szCs w:val="32"/>
          <w:highlight w:val="none"/>
          <w:u w:val="none"/>
          <w:lang w:val="en-US"/>
        </w:rPr>
        <w:t>）</w:t>
      </w:r>
      <w:r>
        <w:rPr>
          <w:rFonts w:hint="eastAsia" w:ascii="仿宋_GB2312" w:hAnsi="仿宋_GB2312" w:eastAsia="仿宋_GB2312" w:cs="仿宋_GB2312"/>
          <w:color w:val="auto"/>
          <w:sz w:val="32"/>
          <w:szCs w:val="32"/>
          <w:highlight w:val="none"/>
          <w:lang w:val="en-US" w:eastAsia="zh-CN"/>
        </w:rPr>
        <w:t>按照省教育厅要求，完成学校2024年度分省分专业招生计划核对工作；参加阳光高考平台云网上咨询周活动，在线解答考生提问。在预科基地完成2024年度78名预科生的录取工作。组织开展“院长说专业”系列直播活动，十位教学学院院长向考生和家长分享学院和专业的相关信息；选派并培训14名招生咨询教师，分赴吉林省等6省参加招生咨询会。</w:t>
      </w:r>
      <w:r>
        <w:rPr>
          <w:rFonts w:hint="default" w:ascii="仿宋_GB2312" w:hAnsi="宋体" w:eastAsia="仿宋_GB2312" w:cs="仿宋_GB2312"/>
          <w:i w:val="0"/>
          <w:iCs w:val="0"/>
          <w:caps w:val="0"/>
          <w:color w:val="0000FF"/>
          <w:spacing w:val="0"/>
          <w:kern w:val="2"/>
          <w:sz w:val="32"/>
          <w:szCs w:val="32"/>
          <w:shd w:val="clear" w:fill="FFFFFF"/>
          <w:lang w:val="en-US" w:eastAsia="zh-CN" w:bidi="ar-SA"/>
        </w:rPr>
        <w:t>在广泛、规范进行招生宣传的同时，进行精准宣传和报名辅导，稳定学校学历继续教育规模</w:t>
      </w:r>
      <w:r>
        <w:rPr>
          <w:rFonts w:hint="eastAsia" w:ascii="仿宋_GB2312" w:hAnsi="宋体" w:eastAsia="仿宋_GB2312" w:cs="仿宋_GB2312"/>
          <w:i w:val="0"/>
          <w:iCs w:val="0"/>
          <w:caps w:val="0"/>
          <w:color w:val="0000FF"/>
          <w:spacing w:val="0"/>
          <w:kern w:val="2"/>
          <w:sz w:val="32"/>
          <w:szCs w:val="32"/>
          <w:shd w:val="clear" w:fill="FFFFFF"/>
          <w:lang w:val="en-US" w:eastAsia="zh-CN" w:bidi="ar-SA"/>
        </w:rPr>
        <w:t>。</w:t>
      </w:r>
      <w:bookmarkStart w:id="0" w:name="_GoBack"/>
      <w:bookmarkEnd w:id="0"/>
    </w:p>
    <w:p w14:paraId="043BC2C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eastAsia="楷体" w:cs="Times New Roman"/>
          <w:color w:val="auto"/>
          <w:sz w:val="32"/>
          <w:szCs w:val="32"/>
          <w:highlight w:val="none"/>
          <w:u w:val="none"/>
          <w:lang w:val="en-US" w:eastAsia="zh-CN"/>
        </w:rPr>
        <w:t>20</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提升就业服务水平。（就业工作处，各教学学院）</w:t>
      </w:r>
      <w:r>
        <w:rPr>
          <w:rFonts w:hint="eastAsia" w:ascii="仿宋_GB2312" w:hAnsi="仿宋_GB2312" w:eastAsia="仿宋_GB2312" w:cs="仿宋_GB2312"/>
          <w:color w:val="auto"/>
          <w:sz w:val="32"/>
          <w:szCs w:val="32"/>
          <w:highlight w:val="none"/>
          <w:lang w:val="en-US" w:eastAsia="zh-CN"/>
        </w:rPr>
        <w:t>做好“狠抓落实年”主要任务的全面落实。组织召开2024届毕业生留吉就业工作推进会暨第六次就业工作调度会，部署调度就业工作进展。截至6月下旬，已完成留吉就业2124人，留吉率63.52%。校领导带队开展访企拓岗调研活动。组织开展2024届毕业生就业数据核查工作，规范就业数据信息统计。完成2024届毕业生科研助理岗位报名招录工作。学校27个项目获批教育部第三期供需对接就业育人项目立项，在项目申报数量、项目合作层次上均取得新突破。</w:t>
      </w:r>
    </w:p>
    <w:p w14:paraId="072AF8D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8"/>
          <w:sz w:val="32"/>
          <w:szCs w:val="32"/>
          <w:highlight w:val="none"/>
          <w:lang w:val="en-US" w:eastAsia="zh-CN" w:bidi="ar-SA"/>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1</w:t>
      </w:r>
      <w:r>
        <w:rPr>
          <w:rFonts w:hint="default" w:ascii="Times New Roman" w:hAnsi="Times New Roman" w:eastAsia="楷体" w:cs="Times New Roman"/>
          <w:color w:val="auto"/>
          <w:sz w:val="32"/>
          <w:szCs w:val="32"/>
          <w:highlight w:val="none"/>
          <w:u w:val="none"/>
          <w:lang w:val="en-US" w:eastAsia="zh-CN"/>
        </w:rPr>
        <w:t>.深化国际合作交流。（国际合作与交流处）</w:t>
      </w:r>
      <w:r>
        <w:rPr>
          <w:rFonts w:hint="eastAsia" w:ascii="仿宋_GB2312" w:hAnsi="仿宋_GB2312" w:eastAsia="仿宋_GB2312" w:cs="仿宋_GB2312"/>
          <w:color w:val="auto"/>
          <w:kern w:val="28"/>
          <w:sz w:val="32"/>
          <w:szCs w:val="32"/>
          <w:highlight w:val="none"/>
          <w:lang w:val="en-US" w:eastAsia="zh-CN" w:bidi="ar-SA"/>
        </w:rPr>
        <w:t>组织学生参加泰国格乐大学2024年-2025年第一学期交流项目。参加“中阿高校10+10合作计划成员高校第一次线上工作会议”；选派粮食学院教师参加第八届中俄博览会暨中俄粮食生产与食品科学研讨会。协助日语专业学生陈梓萌申请日本札幌国际大学2+2留学项目，已完成审批，等待日方学校考试通知。组织“四新”派出人员及留学基金委项目访学人员参加省教育厅“平安留学”专项行动培训会。</w:t>
      </w:r>
    </w:p>
    <w:p w14:paraId="114E0B3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黑体" w:cs="Times New Roman"/>
          <w:color w:val="auto"/>
          <w:sz w:val="32"/>
          <w:szCs w:val="32"/>
          <w:highlight w:val="none"/>
          <w:u w:val="none"/>
          <w:lang w:val="en-US"/>
        </w:rPr>
      </w:pPr>
      <w:r>
        <w:rPr>
          <w:rFonts w:hint="default" w:ascii="Times New Roman" w:hAnsi="Times New Roman" w:eastAsia="黑体" w:cs="Times New Roman"/>
          <w:color w:val="auto"/>
          <w:sz w:val="32"/>
          <w:szCs w:val="32"/>
          <w:highlight w:val="none"/>
          <w:u w:val="none"/>
          <w:lang w:val="en-US"/>
        </w:rPr>
        <w:t>三、完善大学治理体系，提升综合治理能力</w:t>
      </w:r>
    </w:p>
    <w:p w14:paraId="659F9CF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8"/>
          <w:sz w:val="32"/>
          <w:szCs w:val="32"/>
          <w:highlight w:val="none"/>
          <w:lang w:val="en-US" w:eastAsia="zh-CN" w:bidi="ar-SA"/>
        </w:rPr>
      </w:pPr>
      <w:r>
        <w:rPr>
          <w:rFonts w:hint="default" w:ascii="Times New Roman" w:hAnsi="Times New Roman" w:eastAsia="楷体" w:cs="Times New Roman"/>
          <w:color w:val="auto"/>
          <w:sz w:val="32"/>
          <w:szCs w:val="32"/>
          <w:highlight w:val="none"/>
          <w:u w:val="none"/>
          <w:lang w:val="en-US"/>
        </w:rPr>
        <w:t>2</w:t>
      </w:r>
      <w:r>
        <w:rPr>
          <w:rFonts w:hint="eastAsia" w:eastAsia="楷体" w:cs="Times New Roman"/>
          <w:color w:val="auto"/>
          <w:sz w:val="32"/>
          <w:szCs w:val="32"/>
          <w:highlight w:val="none"/>
          <w:u w:val="none"/>
          <w:lang w:val="en-US" w:eastAsia="zh-CN"/>
        </w:rPr>
        <w:t>2</w:t>
      </w:r>
      <w:r>
        <w:rPr>
          <w:rFonts w:hint="default" w:ascii="Times New Roman" w:hAnsi="Times New Roman" w:eastAsia="楷体" w:cs="Times New Roman"/>
          <w:color w:val="auto"/>
          <w:sz w:val="32"/>
          <w:szCs w:val="32"/>
          <w:highlight w:val="none"/>
          <w:u w:val="none"/>
          <w:lang w:val="en-US"/>
        </w:rPr>
        <w:t>.完善大学治理体系。（发展规划与政策法规处，人力资源处，各部门，各单位）</w:t>
      </w:r>
      <w:r>
        <w:rPr>
          <w:rFonts w:hint="eastAsia" w:ascii="仿宋_GB2312" w:hAnsi="仿宋_GB2312" w:eastAsia="仿宋_GB2312" w:cs="仿宋_GB2312"/>
          <w:color w:val="auto"/>
          <w:kern w:val="28"/>
          <w:sz w:val="32"/>
          <w:szCs w:val="32"/>
          <w:highlight w:val="none"/>
          <w:lang w:val="en-US" w:eastAsia="zh-CN" w:bidi="ar-SA"/>
        </w:rPr>
        <w:t>根据普通高等学校本科教育教学审核评估工作要求，开展学校各类</w:t>
      </w:r>
      <w:r>
        <w:rPr>
          <w:rFonts w:hint="default" w:ascii="仿宋_GB2312" w:hAnsi="仿宋_GB2312" w:eastAsia="仿宋_GB2312" w:cs="仿宋_GB2312"/>
          <w:color w:val="auto"/>
          <w:kern w:val="28"/>
          <w:sz w:val="32"/>
          <w:szCs w:val="32"/>
          <w:highlight w:val="none"/>
          <w:lang w:val="en-US" w:eastAsia="zh-CN" w:bidi="ar-SA"/>
        </w:rPr>
        <w:t>规章制度</w:t>
      </w:r>
      <w:r>
        <w:rPr>
          <w:rFonts w:hint="eastAsia" w:ascii="仿宋_GB2312" w:hAnsi="仿宋_GB2312" w:eastAsia="仿宋_GB2312" w:cs="仿宋_GB2312"/>
          <w:color w:val="auto"/>
          <w:kern w:val="28"/>
          <w:sz w:val="32"/>
          <w:szCs w:val="32"/>
          <w:highlight w:val="none"/>
          <w:lang w:val="en-US" w:eastAsia="zh-CN" w:bidi="ar-SA"/>
        </w:rPr>
        <w:t>整理汇编工作。上线离校人员线上审批流程。</w:t>
      </w:r>
    </w:p>
    <w:p w14:paraId="2B33773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8"/>
          <w:sz w:val="32"/>
          <w:szCs w:val="32"/>
          <w:highlight w:val="none"/>
          <w:lang w:val="en-US" w:eastAsia="zh-CN" w:bidi="ar-SA"/>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3</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提升财务管理水平。（财务管理处，各部门，各单位）</w:t>
      </w:r>
      <w:r>
        <w:rPr>
          <w:rFonts w:hint="default" w:ascii="仿宋_GB2312" w:hAnsi="仿宋_GB2312" w:eastAsia="仿宋_GB2312" w:cs="仿宋_GB2312"/>
          <w:color w:val="auto"/>
          <w:kern w:val="28"/>
          <w:sz w:val="32"/>
          <w:szCs w:val="32"/>
          <w:highlight w:val="none"/>
          <w:lang w:val="en-US" w:eastAsia="zh-CN" w:bidi="ar-SA"/>
        </w:rPr>
        <w:t>召开专门会议调度项目招标采购进展情况，分类指导项目实施，督促项目负责人加快实施进度。与九台农商银行联系沟通，通过 “借新还旧”方式置换到期贷款3240万元。同时，商请九台区人社局归还农民工保证金近240万元，用于偿还工程欠款，有效化解债务风险。</w:t>
      </w:r>
    </w:p>
    <w:p w14:paraId="5CF5229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kern w:val="28"/>
          <w:sz w:val="32"/>
          <w:szCs w:val="32"/>
          <w:highlight w:val="none"/>
          <w:lang w:val="en-US" w:eastAsia="zh-CN" w:bidi="ar-SA"/>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4</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统筹推进“十四五”发展规划。（发展规划与政策法规处，各部门，各单位）</w:t>
      </w:r>
      <w:r>
        <w:rPr>
          <w:rFonts w:hint="eastAsia" w:ascii="仿宋_GB2312" w:hAnsi="仿宋_GB2312" w:eastAsia="仿宋_GB2312" w:cs="仿宋_GB2312"/>
          <w:color w:val="auto"/>
          <w:kern w:val="28"/>
          <w:sz w:val="32"/>
          <w:szCs w:val="32"/>
          <w:highlight w:val="none"/>
          <w:lang w:val="en-US" w:eastAsia="zh-CN" w:bidi="ar-SA"/>
        </w:rPr>
        <w:t>组织开展“十四五”规划各项任务摸排工作，形成工作报告。</w:t>
      </w:r>
    </w:p>
    <w:p w14:paraId="3DC643F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8"/>
          <w:sz w:val="32"/>
          <w:szCs w:val="32"/>
          <w:highlight w:val="none"/>
          <w:lang w:val="en-US" w:eastAsia="zh-CN" w:bidi="ar-SA"/>
        </w:rPr>
      </w:pPr>
      <w:r>
        <w:rPr>
          <w:rFonts w:hint="default" w:ascii="Times New Roman" w:hAnsi="Times New Roman" w:eastAsia="楷体" w:cs="Times New Roman"/>
          <w:color w:val="auto"/>
          <w:sz w:val="32"/>
          <w:szCs w:val="32"/>
          <w:highlight w:val="none"/>
          <w:u w:val="none"/>
          <w:lang w:val="en-US" w:eastAsia="zh-CN"/>
        </w:rPr>
        <w:t>25.加强校园文化建设。（党委宣传部，各教学学院）</w:t>
      </w:r>
      <w:r>
        <w:rPr>
          <w:rFonts w:hint="eastAsia" w:ascii="仿宋_GB2312" w:hAnsi="仿宋_GB2312" w:eastAsia="仿宋_GB2312" w:cs="仿宋_GB2312"/>
          <w:color w:val="auto"/>
          <w:kern w:val="28"/>
          <w:sz w:val="32"/>
          <w:szCs w:val="32"/>
          <w:highlight w:val="none"/>
          <w:lang w:val="en-US" w:eastAsia="zh-CN" w:bidi="ar-SA"/>
        </w:rPr>
        <w:t>落实“狠抓落实年”主要任务。举办百米组画《人民英雄杨靖宇》作品展暨党史学习教育进校园活动，深入推进红色文化进校园。完成2024年毕业生毕业季校园文化建设，为毕业生营造毕业氛围。开展迎评校园文化建设调研，对校园文化建设整体规划。</w:t>
      </w:r>
    </w:p>
    <w:p w14:paraId="62D9DB0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Segoe UI" w:eastAsia="仿宋_GB2312" w:cs="Segoe UI"/>
          <w:color w:val="auto"/>
          <w:kern w:val="0"/>
          <w:sz w:val="32"/>
          <w:szCs w:val="32"/>
          <w14:ligatures w14:val="none"/>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6</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筑牢校园安全防线。（党委安全保卫部、安全保卫处，后勤保障处，实验实训管理中心，党委办公室、校长办公室，网络建设与信息管理中心，各部门，各单位）</w:t>
      </w:r>
      <w:r>
        <w:rPr>
          <w:rFonts w:hint="eastAsia" w:ascii="Times New Roman" w:hAnsi="Times New Roman" w:eastAsia="仿宋_GB2312" w:cs="Times New Roman"/>
          <w:color w:val="auto"/>
          <w:sz w:val="32"/>
          <w:szCs w:val="32"/>
          <w:highlight w:val="none"/>
          <w:lang w:val="en-US" w:eastAsia="zh-CN"/>
        </w:rPr>
        <w:t>做好“狠抓落实年”主要任务的全面落实。</w:t>
      </w:r>
      <w:r>
        <w:rPr>
          <w:rFonts w:hint="eastAsia" w:eastAsia="仿宋_GB2312" w:cs="Times New Roman"/>
          <w:color w:val="auto"/>
          <w:sz w:val="32"/>
          <w:szCs w:val="32"/>
          <w:highlight w:val="none"/>
          <w:lang w:val="en-US" w:eastAsia="zh-CN"/>
        </w:rPr>
        <w:t>加强</w:t>
      </w:r>
      <w:r>
        <w:rPr>
          <w:rFonts w:hint="eastAsia" w:ascii="仿宋_GB2312" w:eastAsia="仿宋_GB2312"/>
          <w:color w:val="auto"/>
          <w:sz w:val="32"/>
          <w:szCs w:val="32"/>
        </w:rPr>
        <w:t>安全隐患排查</w:t>
      </w:r>
      <w:r>
        <w:rPr>
          <w:rFonts w:hint="eastAsia" w:ascii="仿宋_GB2312" w:eastAsia="仿宋_GB2312"/>
          <w:color w:val="auto"/>
          <w:sz w:val="32"/>
          <w:szCs w:val="32"/>
          <w:lang w:eastAsia="zh-CN"/>
        </w:rPr>
        <w:t>，</w:t>
      </w:r>
      <w:r>
        <w:rPr>
          <w:rFonts w:hint="eastAsia" w:ascii="仿宋_GB2312" w:eastAsia="仿宋_GB2312"/>
          <w:color w:val="auto"/>
          <w:sz w:val="32"/>
          <w:szCs w:val="32"/>
        </w:rPr>
        <w:t>进行疏散演练和灭火器材使用培训</w:t>
      </w:r>
      <w:r>
        <w:rPr>
          <w:rFonts w:hint="eastAsia" w:ascii="仿宋_GB2312" w:eastAsia="仿宋_GB2312"/>
          <w:color w:val="auto"/>
          <w:sz w:val="32"/>
          <w:szCs w:val="32"/>
          <w:lang w:eastAsia="zh-CN"/>
        </w:rPr>
        <w:t>。完成</w:t>
      </w:r>
      <w:r>
        <w:rPr>
          <w:rFonts w:hint="eastAsia" w:ascii="仿宋_GB2312" w:eastAsia="仿宋_GB2312"/>
          <w:color w:val="auto"/>
          <w:sz w:val="32"/>
          <w:szCs w:val="32"/>
        </w:rPr>
        <w:t>全校疏散门禁门粘贴标识</w:t>
      </w:r>
      <w:r>
        <w:rPr>
          <w:rFonts w:hint="eastAsia" w:ascii="仿宋_GB2312" w:eastAsia="仿宋_GB2312"/>
          <w:color w:val="auto"/>
          <w:sz w:val="32"/>
          <w:szCs w:val="32"/>
          <w:lang w:val="en-US" w:eastAsia="zh-CN"/>
        </w:rPr>
        <w:t>工作</w:t>
      </w:r>
      <w:r>
        <w:rPr>
          <w:rFonts w:hint="eastAsia" w:ascii="仿宋_GB2312" w:eastAsia="仿宋_GB2312"/>
          <w:color w:val="auto"/>
          <w:sz w:val="32"/>
          <w:szCs w:val="32"/>
          <w:lang w:eastAsia="zh-CN"/>
        </w:rPr>
        <w:t>，</w:t>
      </w:r>
      <w:r>
        <w:rPr>
          <w:rFonts w:hint="eastAsia" w:ascii="仿宋_GB2312" w:eastAsia="仿宋_GB2312"/>
          <w:color w:val="auto"/>
          <w:sz w:val="32"/>
          <w:szCs w:val="32"/>
        </w:rPr>
        <w:t>联合九台司法局、九台禁毒大队进行国家禁毒日宣传。</w:t>
      </w:r>
      <w:r>
        <w:rPr>
          <w:rFonts w:hint="eastAsia" w:ascii="Times New Roman" w:hAnsi="Times New Roman" w:eastAsia="仿宋_GB2312" w:cs="Times New Roman"/>
          <w:color w:val="auto"/>
          <w:sz w:val="32"/>
          <w:szCs w:val="32"/>
          <w:highlight w:val="none"/>
          <w:lang w:val="en-US" w:eastAsia="zh-CN"/>
        </w:rPr>
        <w:t>做好信访维稳工作。</w:t>
      </w:r>
      <w:r>
        <w:rPr>
          <w:rFonts w:hint="eastAsia" w:ascii="仿宋_GB2312" w:hAnsi="楷体" w:eastAsia="仿宋_GB2312" w:cs="楷体"/>
          <w:color w:val="auto"/>
          <w:sz w:val="32"/>
          <w:szCs w:val="32"/>
        </w:rPr>
        <w:t>完成两个食堂重新招标的前期准备工作。</w:t>
      </w:r>
      <w:r>
        <w:rPr>
          <w:rFonts w:hint="eastAsia" w:ascii="Times New Roman" w:hAnsi="Times New Roman" w:eastAsia="仿宋_GB2312" w:cs="Times New Roman"/>
          <w:color w:val="auto"/>
          <w:sz w:val="32"/>
          <w:szCs w:val="32"/>
          <w:highlight w:val="none"/>
          <w:lang w:val="en-US" w:eastAsia="zh-CN"/>
        </w:rPr>
        <w:t>处理省长热线转办工单16件、校长信箱24封等信访问题接待和处理，及时答复诉求人需求。</w:t>
      </w:r>
      <w:r>
        <w:rPr>
          <w:rFonts w:hint="eastAsia" w:ascii="仿宋_GB2312" w:hAnsi="Segoe UI" w:eastAsia="仿宋_GB2312" w:cs="Segoe UI"/>
          <w:color w:val="auto"/>
          <w:kern w:val="0"/>
          <w:sz w:val="32"/>
          <w:szCs w:val="32"/>
          <w14:ligatures w14:val="none"/>
        </w:rPr>
        <w:t>持续加强校园网络安全综合防御体系建设，形成了本年度网络安全培训和应急演练的工作方案。响应上级部门要求，完成部署了服务器操作系统国产化工作，降低了对国外产品的依赖，提升了服务器端的安全防护能力。</w:t>
      </w:r>
    </w:p>
    <w:p w14:paraId="384DDED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7</w:t>
      </w:r>
      <w:r>
        <w:rPr>
          <w:rFonts w:hint="default" w:ascii="Times New Roman" w:hAnsi="Times New Roman" w:eastAsia="楷体" w:cs="Times New Roman"/>
          <w:color w:val="auto"/>
          <w:sz w:val="32"/>
          <w:szCs w:val="32"/>
          <w:highlight w:val="none"/>
          <w:u w:val="none"/>
          <w:lang w:val="en-US" w:eastAsia="zh-CN"/>
        </w:rPr>
        <w:t>.强化服务保障能力。（后勤保障处，基建管理处，校医院，档案馆，图书馆，学报编辑部）</w:t>
      </w:r>
      <w:r>
        <w:rPr>
          <w:rFonts w:hint="eastAsia" w:ascii="Times New Roman" w:hAnsi="Times New Roman" w:eastAsia="仿宋_GB2312" w:cs="Times New Roman"/>
          <w:color w:val="auto"/>
          <w:sz w:val="32"/>
          <w:szCs w:val="32"/>
          <w:highlight w:val="none"/>
          <w:lang w:val="en-US" w:eastAsia="zh-CN"/>
        </w:rPr>
        <w:t>建设节约型、可持续发展的绿色生态校园。稳步推进基础设施维修工作。持续抓好食堂食品安全工作，严格监管，确保师生用餐安全。</w:t>
      </w:r>
    </w:p>
    <w:p w14:paraId="7265E307">
      <w:pPr>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eastAsia="仿宋_GB2312" w:cs="Times New Roman"/>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8</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做好资产管理。（资产管理处）</w:t>
      </w:r>
      <w:r>
        <w:rPr>
          <w:rFonts w:hint="eastAsia" w:ascii="Times New Roman" w:hAnsi="Times New Roman" w:eastAsia="仿宋_GB2312" w:cs="Times New Roman"/>
          <w:color w:val="auto"/>
          <w:sz w:val="32"/>
          <w:szCs w:val="32"/>
          <w:highlight w:val="none"/>
          <w:lang w:val="en-US" w:eastAsia="zh-CN"/>
        </w:rPr>
        <w:t>持续推进解决资产报废处置工作。抓好招标采购工作，确保招标过程公开、公正、透明</w:t>
      </w:r>
      <w:r>
        <w:rPr>
          <w:rFonts w:hint="eastAsia" w:eastAsia="仿宋_GB2312" w:cs="Times New Roman"/>
          <w:color w:val="auto"/>
          <w:sz w:val="32"/>
          <w:szCs w:val="32"/>
          <w:highlight w:val="none"/>
          <w:lang w:val="en-US" w:eastAsia="zh-CN"/>
        </w:rPr>
        <w:t>。</w:t>
      </w:r>
    </w:p>
    <w:p w14:paraId="11323D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2</w:t>
      </w:r>
      <w:r>
        <w:rPr>
          <w:rFonts w:hint="eastAsia" w:eastAsia="楷体" w:cs="Times New Roman"/>
          <w:color w:val="auto"/>
          <w:sz w:val="32"/>
          <w:szCs w:val="32"/>
          <w:highlight w:val="none"/>
          <w:lang w:val="en-US" w:eastAsia="zh-CN"/>
        </w:rPr>
        <w:t>9</w:t>
      </w:r>
      <w:r>
        <w:rPr>
          <w:rFonts w:hint="default" w:ascii="Times New Roman" w:hAnsi="Times New Roman" w:eastAsia="楷体" w:cs="Times New Roman"/>
          <w:color w:val="auto"/>
          <w:sz w:val="32"/>
          <w:szCs w:val="32"/>
          <w:highlight w:val="none"/>
          <w:lang w:val="en-US" w:eastAsia="zh-CN"/>
        </w:rPr>
        <w:t>.</w:t>
      </w:r>
      <w:r>
        <w:rPr>
          <w:rFonts w:hint="default" w:ascii="Times New Roman" w:hAnsi="Times New Roman" w:eastAsia="楷体" w:cs="Times New Roman"/>
          <w:color w:val="auto"/>
          <w:sz w:val="32"/>
          <w:szCs w:val="32"/>
          <w:highlight w:val="none"/>
          <w:lang w:val="en-US"/>
        </w:rPr>
        <w:t>做好审计工作</w:t>
      </w:r>
      <w:r>
        <w:rPr>
          <w:rFonts w:hint="default" w:ascii="Times New Roman" w:hAnsi="Times New Roman" w:eastAsia="楷体" w:cs="Times New Roman"/>
          <w:color w:val="auto"/>
          <w:sz w:val="32"/>
          <w:szCs w:val="32"/>
          <w:highlight w:val="none"/>
          <w:u w:val="none"/>
          <w:lang w:val="en-US"/>
        </w:rPr>
        <w:t>。</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审计处，资产管理处，基建管理处</w:t>
      </w:r>
      <w:r>
        <w:rPr>
          <w:rFonts w:hint="default" w:ascii="Times New Roman" w:hAnsi="Times New Roman" w:eastAsia="楷体" w:cs="Times New Roman"/>
          <w:color w:val="auto"/>
          <w:sz w:val="32"/>
          <w:szCs w:val="32"/>
          <w:highlight w:val="none"/>
          <w:u w:val="none"/>
          <w:lang w:val="en-US" w:eastAsia="zh-CN"/>
        </w:rPr>
        <w:t>）</w:t>
      </w:r>
      <w:r>
        <w:rPr>
          <w:rFonts w:hint="eastAsia" w:ascii="仿宋_GB2312" w:hAnsi="黑体" w:eastAsia="仿宋_GB2312"/>
          <w:color w:val="auto"/>
          <w:sz w:val="32"/>
          <w:szCs w:val="32"/>
          <w:lang w:val="en-US" w:eastAsia="zh-CN"/>
        </w:rPr>
        <w:t>完成财政专项资金项目和日常维修项目、设备招标等预算、结算审计11项。</w:t>
      </w:r>
    </w:p>
    <w:p w14:paraId="7B545D5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楷体" w:cs="Times New Roman"/>
          <w:color w:val="auto"/>
          <w:sz w:val="32"/>
          <w:szCs w:val="32"/>
          <w:highlight w:val="none"/>
          <w:u w:val="none"/>
          <w:lang w:val="en-US" w:eastAsia="zh-CN"/>
        </w:rPr>
        <w:t>30</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推动“智慧校园”建设。（网络建设与信息管理中心，各部门，各单位）</w:t>
      </w:r>
      <w:r>
        <w:rPr>
          <w:rFonts w:hint="eastAsia" w:ascii="Times New Roman" w:hAnsi="Times New Roman" w:eastAsia="仿宋_GB2312" w:cs="Times New Roman"/>
          <w:color w:val="auto"/>
          <w:sz w:val="32"/>
          <w:szCs w:val="32"/>
          <w:highlight w:val="none"/>
          <w:lang w:val="en-US" w:eastAsia="zh-CN"/>
        </w:rPr>
        <w:t>持续加强智能填报系统云文档平台测试及优化工作，累计数据文件已达万余条，为后续校本数据累积、数据治理及共享提供丰富的资源。完成“在线收费”、“学生档案管理”两个轻应用H5（手机版）的建设、测试、应用工作。完成“离校管理”、“桌面云办公系统教工账号申请”流程的上线工作。</w:t>
      </w:r>
    </w:p>
    <w:p w14:paraId="09B0B4B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eastAsia="楷体" w:cs="Times New Roman"/>
          <w:color w:val="auto"/>
          <w:sz w:val="32"/>
          <w:szCs w:val="32"/>
          <w:highlight w:val="none"/>
          <w:u w:val="none"/>
          <w:lang w:val="en-US" w:eastAsia="zh-CN"/>
        </w:rPr>
        <w:t>31</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完善校友工作机制。（校友工作办公室，各教学学院）</w:t>
      </w:r>
      <w:r>
        <w:rPr>
          <w:rFonts w:hint="eastAsia" w:ascii="仿宋_GB2312" w:hAnsi="仿宋_GB2312" w:eastAsia="仿宋_GB2312" w:cs="仿宋_GB2312"/>
          <w:color w:val="auto"/>
          <w:sz w:val="32"/>
          <w:szCs w:val="32"/>
        </w:rPr>
        <w:t>首次聘任248名毕业生</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2024届校园联络员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组织校友会和教育发展基金会2023年度年检材料，顺利通过吉林省教育厅、民政厅审核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到校友企业</w:t>
      </w:r>
      <w:r>
        <w:rPr>
          <w:rFonts w:hint="eastAsia" w:ascii="仿宋_GB2312" w:hAnsi="仿宋_GB2312" w:eastAsia="仿宋_GB2312" w:cs="仿宋_GB2312"/>
          <w:color w:val="auto"/>
          <w:sz w:val="32"/>
          <w:szCs w:val="32"/>
        </w:rPr>
        <w:t>访企拓岗，为学校发展建设、校企合作等提供支持与帮助。</w:t>
      </w:r>
    </w:p>
    <w:p w14:paraId="1E34F9B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u w:val="none"/>
          <w:lang w:val="en-US"/>
        </w:rPr>
        <w:t>四、强化科技创新引领，提升服务地方经济社会发展能力</w:t>
      </w:r>
    </w:p>
    <w:p w14:paraId="10431A6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楷体" w:cs="Times New Roman"/>
          <w:color w:val="auto"/>
          <w:sz w:val="32"/>
          <w:szCs w:val="32"/>
          <w:highlight w:val="none"/>
          <w:u w:val="none"/>
          <w:lang w:val="en-US" w:eastAsia="zh-CN"/>
        </w:rPr>
        <w:t>32</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强化科技创新引领。（科研处，高等教育研究所，各教学单位，直属科研平台）</w:t>
      </w:r>
      <w:r>
        <w:rPr>
          <w:rFonts w:hint="eastAsia" w:ascii="Times New Roman" w:hAnsi="Times New Roman" w:eastAsia="仿宋_GB2312" w:cs="Times New Roman"/>
          <w:color w:val="auto"/>
          <w:sz w:val="32"/>
          <w:szCs w:val="32"/>
          <w:highlight w:val="none"/>
          <w:lang w:val="en-US" w:eastAsia="zh-CN"/>
        </w:rPr>
        <w:t>做好“狠抓落实年”主要任务的全面落实。</w:t>
      </w:r>
      <w:r>
        <w:rPr>
          <w:rFonts w:hint="eastAsia"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强化科研项目管理，组织申报各级各类科研项目5项。举办学术论坛5场</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完成2024年度全国教育科学规划和全国教育科学规划专项申报、2024年上半年吉林省高教科研课题结题验收、吉林省教育科研成果统计工作；规范档案建设，完成学校2023年度各类综合档案立卷归档工作和2024年续志资料长编材料征集工作；深化科研成果转化，与九台区政府开展战略合作对接工作，签署《战略合作框架协议》。</w:t>
      </w:r>
      <w:r>
        <w:rPr>
          <w:rFonts w:hint="eastAsia" w:eastAsia="仿宋_GB2312" w:cs="Times New Roman"/>
          <w:color w:val="auto"/>
          <w:sz w:val="32"/>
          <w:szCs w:val="32"/>
          <w:highlight w:val="none"/>
          <w:lang w:val="en-US" w:eastAsia="zh-CN"/>
        </w:rPr>
        <w:t>学</w:t>
      </w:r>
      <w:r>
        <w:rPr>
          <w:rFonts w:hint="eastAsia" w:ascii="Times New Roman" w:hAnsi="Times New Roman" w:eastAsia="仿宋_GB2312" w:cs="Times New Roman"/>
          <w:color w:val="auto"/>
          <w:sz w:val="32"/>
          <w:szCs w:val="32"/>
          <w:highlight w:val="none"/>
          <w:lang w:val="en-US" w:eastAsia="zh-CN"/>
        </w:rPr>
        <w:t>校参加全省十大产业集群暨农产品加工企业科企对接活动，积极推动科研成果转化。组织召开“吉林工商学院第五届学术委员会学术评价与学科建设委员会”，进一步加强科研诚信建设、营造良好的科研环境。</w:t>
      </w:r>
    </w:p>
    <w:p w14:paraId="0D82B027">
      <w:pPr>
        <w:pStyle w:val="3"/>
        <w:widowControl/>
        <w:ind w:firstLine="632"/>
        <w:rPr>
          <w:rFonts w:hint="eastAsia" w:hAnsi="仿宋" w:eastAsia="仿宋_GB2312" w:cs="仿宋_GB2312"/>
          <w:color w:val="auto"/>
          <w:szCs w:val="32"/>
        </w:rPr>
      </w:pPr>
      <w:r>
        <w:rPr>
          <w:rFonts w:hint="eastAsia"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lang w:val="en-US" w:eastAsia="zh-CN"/>
        </w:rPr>
        <w:t>服务</w:t>
      </w:r>
      <w:r>
        <w:rPr>
          <w:rFonts w:hint="default" w:eastAsia="楷体" w:cs="Times New Roman"/>
          <w:color w:val="auto"/>
          <w:sz w:val="32"/>
          <w:szCs w:val="32"/>
          <w:highlight w:val="none"/>
          <w:u w:val="none"/>
          <w:lang w:val="en-US" w:eastAsia="zh-CN"/>
        </w:rPr>
        <w:t>地方经济社会发展</w:t>
      </w:r>
      <w:r>
        <w:rPr>
          <w:rFonts w:hint="eastAsia" w:eastAsia="楷体" w:cs="Times New Roman"/>
          <w:color w:val="auto"/>
          <w:sz w:val="32"/>
          <w:szCs w:val="32"/>
          <w:highlight w:val="none"/>
          <w:u w:val="none"/>
          <w:lang w:val="en-US" w:eastAsia="zh-CN"/>
        </w:rPr>
        <w:t>。</w:t>
      </w:r>
      <w:r>
        <w:rPr>
          <w:rFonts w:hint="eastAsia" w:ascii="Times New Roman" w:hAnsi="Times New Roman" w:eastAsia="楷体" w:cs="Times New Roman"/>
          <w:color w:val="auto"/>
          <w:sz w:val="32"/>
          <w:szCs w:val="32"/>
          <w:highlight w:val="none"/>
          <w:u w:val="none"/>
          <w:lang w:val="en-US" w:eastAsia="zh-CN"/>
        </w:rPr>
        <w:t>（科研处、教务处、各教学单位、直属科研单位、科研平台）</w:t>
      </w:r>
      <w:r>
        <w:rPr>
          <w:rFonts w:hint="eastAsia" w:ascii="Times New Roman" w:hAnsi="Times New Roman" w:eastAsia="仿宋_GB2312" w:cs="Times New Roman"/>
          <w:color w:val="auto"/>
          <w:sz w:val="32"/>
          <w:szCs w:val="32"/>
          <w:highlight w:val="none"/>
          <w:lang w:val="en-US" w:eastAsia="zh-CN"/>
        </w:rPr>
        <w:t>发挥“餐旅”特色，主办吉林省区域饮食文化助力地方经济高质量发展（白城站）—湿地农牧文化开拓吉菜新食路研讨会，赋能吉林省饮食文化高质量发展。发挥“粮食”特色优势，报送《涉农高校工作报告和典型案例》，提升我校实施吉林省“千亿斤粮食”产能建设工程、吉林大米品牌建设工程知名度。与九台区企业签订校企合作协议，共同建设“5T”智慧农场。参加“全省十大产业集群暨农产品加工企业科企对接活动”，学校有10名老师入选农业技术专家库。</w:t>
      </w:r>
    </w:p>
    <w:p w14:paraId="4B32B2B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8"/>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rPr>
        <w:t>五、坚持人民至上，提升民生福祉水平</w:t>
      </w:r>
    </w:p>
    <w:p w14:paraId="52144B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eastAsia="楷体" w:cs="Times New Roman"/>
          <w:color w:val="auto"/>
          <w:sz w:val="32"/>
          <w:szCs w:val="32"/>
          <w:highlight w:val="none"/>
          <w:u w:val="none"/>
          <w:lang w:val="en-US" w:eastAsia="zh-CN"/>
        </w:rPr>
        <w:t>3</w:t>
      </w:r>
      <w:r>
        <w:rPr>
          <w:rFonts w:hint="eastAsia" w:eastAsia="楷体" w:cs="Times New Roman"/>
          <w:color w:val="auto"/>
          <w:sz w:val="32"/>
          <w:szCs w:val="32"/>
          <w:highlight w:val="none"/>
          <w:u w:val="none"/>
          <w:lang w:val="en-US" w:eastAsia="zh-CN"/>
        </w:rPr>
        <w:t>4</w:t>
      </w:r>
      <w:r>
        <w:rPr>
          <w:rFonts w:hint="default" w:eastAsia="楷体" w:cs="Times New Roman"/>
          <w:color w:val="auto"/>
          <w:sz w:val="32"/>
          <w:szCs w:val="32"/>
          <w:highlight w:val="none"/>
          <w:u w:val="none"/>
          <w:lang w:val="en-US" w:eastAsia="zh-CN"/>
        </w:rPr>
        <w:t>.做好职工暖心服务。</w:t>
      </w:r>
      <w:r>
        <w:rPr>
          <w:rFonts w:hint="default" w:ascii="Times New Roman" w:hAnsi="Times New Roman" w:eastAsia="楷体" w:cs="Times New Roman"/>
          <w:color w:val="auto"/>
          <w:sz w:val="32"/>
          <w:szCs w:val="32"/>
          <w:highlight w:val="none"/>
          <w:lang w:val="en-US"/>
        </w:rPr>
        <w:t>（工会、妇委会，人力资源处，离退休工作处）</w:t>
      </w:r>
      <w:r>
        <w:rPr>
          <w:rFonts w:hint="eastAsia" w:ascii="Times New Roman" w:hAnsi="Times New Roman" w:eastAsia="仿宋_GB2312" w:cs="Times New Roman"/>
          <w:color w:val="auto"/>
          <w:sz w:val="32"/>
          <w:szCs w:val="32"/>
          <w:highlight w:val="none"/>
          <w:lang w:val="en-US" w:eastAsia="zh-CN"/>
        </w:rPr>
        <w:t>做好家庭困难和患病教职工帮扶工作，慰问住院教职工36人，支付慰问金1.8万元；为33名患病教职工办理了医疗互助保险报销手续，切实帮助教职员工解决急难愁盼问题。全面开展学校2024年度二级保健对象慢性病筛查工作。顺利为全校19名正高级、正厅级教职员工办理了二级保健卡。召开首次“民生福祉保障推进工程”推进会议，讨论该工程推进的总体目标和整体思路。</w:t>
      </w:r>
    </w:p>
    <w:p w14:paraId="7385091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rPr>
        <w:t>3</w:t>
      </w:r>
      <w:r>
        <w:rPr>
          <w:rFonts w:hint="eastAsia" w:eastAsia="楷体" w:cs="Times New Roman"/>
          <w:color w:val="auto"/>
          <w:sz w:val="32"/>
          <w:szCs w:val="32"/>
          <w:highlight w:val="none"/>
          <w:u w:val="none"/>
          <w:lang w:val="en-US" w:eastAsia="zh-CN"/>
        </w:rPr>
        <w:t>5</w:t>
      </w:r>
      <w:r>
        <w:rPr>
          <w:rFonts w:hint="default" w:ascii="Times New Roman" w:hAnsi="Times New Roman" w:eastAsia="楷体" w:cs="Times New Roman"/>
          <w:color w:val="auto"/>
          <w:sz w:val="32"/>
          <w:szCs w:val="32"/>
          <w:highlight w:val="none"/>
          <w:u w:val="none"/>
          <w:lang w:val="en-US"/>
        </w:rPr>
        <w:t>.</w:t>
      </w:r>
      <w:r>
        <w:rPr>
          <w:rFonts w:hint="default" w:ascii="Times New Roman" w:hAnsi="Times New Roman" w:eastAsia="楷体" w:cs="Times New Roman"/>
          <w:color w:val="auto"/>
          <w:sz w:val="32"/>
          <w:szCs w:val="32"/>
          <w:highlight w:val="none"/>
          <w:lang w:val="en-US"/>
        </w:rPr>
        <w:t>推动学校迁建遗留问题解决。</w:t>
      </w:r>
      <w:r>
        <w:rPr>
          <w:rFonts w:hint="default" w:ascii="Times New Roman" w:hAnsi="Times New Roman" w:eastAsia="楷体" w:cs="Times New Roman"/>
          <w:color w:val="auto"/>
          <w:sz w:val="32"/>
          <w:szCs w:val="32"/>
          <w:highlight w:val="none"/>
          <w:u w:val="none"/>
          <w:lang w:val="en-US"/>
        </w:rPr>
        <w:t>（推进教职工住宅遗留问题解决领导小组，校区资产处置领导小组）</w:t>
      </w:r>
      <w:r>
        <w:rPr>
          <w:rFonts w:hint="eastAsia" w:ascii="Times New Roman" w:hAnsi="Times New Roman" w:eastAsia="仿宋_GB2312" w:cs="Times New Roman"/>
          <w:color w:val="auto"/>
          <w:sz w:val="32"/>
          <w:szCs w:val="32"/>
          <w:highlight w:val="none"/>
          <w:lang w:val="en-US" w:eastAsia="zh-CN"/>
        </w:rPr>
        <w:t>截至6月27日</w:t>
      </w:r>
      <w:r>
        <w:rPr>
          <w:rFonts w:hint="eastAsia" w:eastAsia="仿宋_GB2312" w:cs="Times New Roman"/>
          <w:color w:val="auto"/>
          <w:sz w:val="32"/>
          <w:szCs w:val="32"/>
          <w:highlight w:val="none"/>
          <w:lang w:val="en-US" w:eastAsia="zh-CN"/>
        </w:rPr>
        <w:t>职工住宅</w:t>
      </w:r>
      <w:r>
        <w:rPr>
          <w:rFonts w:hint="eastAsia" w:ascii="Times New Roman" w:hAnsi="Times New Roman" w:eastAsia="仿宋_GB2312" w:cs="Times New Roman"/>
          <w:color w:val="auto"/>
          <w:sz w:val="32"/>
          <w:szCs w:val="32"/>
          <w:highlight w:val="none"/>
          <w:lang w:val="en-US" w:eastAsia="zh-CN"/>
        </w:rPr>
        <w:t>已完成了13个栋号31个单元 451户的燃气开通整改工作。</w:t>
      </w:r>
    </w:p>
    <w:p w14:paraId="553B30F6">
      <w:pPr>
        <w:keepNext w:val="0"/>
        <w:keepLines w:val="0"/>
        <w:pageBreakBefore w:val="0"/>
        <w:kinsoku/>
        <w:wordWrap/>
        <w:overflowPunct/>
        <w:topLinePunct w:val="0"/>
        <w:autoSpaceDE/>
        <w:autoSpaceDN/>
        <w:bidi w:val="0"/>
        <w:spacing w:line="560" w:lineRule="exact"/>
        <w:ind w:firstLine="640" w:firstLineChars="200"/>
        <w:jc w:val="both"/>
        <w:textAlignment w:val="auto"/>
        <w:rPr>
          <w:color w:val="auto"/>
          <w:highlight w:val="none"/>
        </w:rPr>
      </w:pPr>
      <w:r>
        <w:rPr>
          <w:rFonts w:hint="eastAsia" w:ascii="Times New Roman" w:hAnsi="Times New Roman" w:eastAsia="楷体" w:cs="楷体"/>
          <w:color w:val="auto"/>
          <w:sz w:val="32"/>
          <w:highlight w:val="none"/>
          <w:lang w:val="en-US" w:eastAsia="zh-CN"/>
        </w:rPr>
        <w:t>3</w:t>
      </w:r>
      <w:r>
        <w:rPr>
          <w:rFonts w:hint="eastAsia" w:eastAsia="楷体" w:cs="楷体"/>
          <w:color w:val="auto"/>
          <w:sz w:val="32"/>
          <w:highlight w:val="none"/>
          <w:lang w:val="en-US" w:eastAsia="zh-CN"/>
        </w:rPr>
        <w:t>6</w:t>
      </w:r>
      <w:r>
        <w:rPr>
          <w:rFonts w:hint="eastAsia" w:ascii="Times New Roman" w:hAnsi="Times New Roman" w:eastAsia="楷体" w:cs="楷体"/>
          <w:color w:val="auto"/>
          <w:sz w:val="32"/>
          <w:highlight w:val="none"/>
          <w:lang w:val="en-US" w:eastAsia="zh-CN"/>
        </w:rPr>
        <w:t>.</w:t>
      </w:r>
      <w:r>
        <w:rPr>
          <w:rFonts w:hint="eastAsia" w:eastAsia="楷体" w:cs="楷体"/>
          <w:color w:val="auto"/>
          <w:sz w:val="32"/>
          <w:highlight w:val="none"/>
          <w:lang w:val="en-US" w:eastAsia="zh-CN"/>
        </w:rPr>
        <w:t>强化跟踪问效。（党委办公室、校长办公室）</w:t>
      </w:r>
      <w:r>
        <w:rPr>
          <w:rFonts w:hint="eastAsia" w:ascii="Times New Roman" w:hAnsi="Times New Roman" w:eastAsia="仿宋_GB2312"/>
          <w:i w:val="0"/>
          <w:iCs w:val="0"/>
          <w:color w:val="auto"/>
          <w:sz w:val="32"/>
          <w:highlight w:val="none"/>
          <w:lang w:val="en-US" w:eastAsia="zh-CN"/>
        </w:rPr>
        <w:t>党委办公室、校长办公室</w:t>
      </w:r>
      <w:r>
        <w:rPr>
          <w:rFonts w:hint="eastAsia" w:eastAsia="仿宋_GB2312"/>
          <w:i w:val="0"/>
          <w:iCs w:val="0"/>
          <w:color w:val="auto"/>
          <w:sz w:val="32"/>
          <w:highlight w:val="none"/>
          <w:lang w:val="en-US" w:eastAsia="zh-CN"/>
        </w:rPr>
        <w:t>坚持每月</w:t>
      </w:r>
      <w:r>
        <w:rPr>
          <w:rFonts w:hint="eastAsia" w:ascii="Times New Roman" w:hAnsi="Times New Roman" w:eastAsia="仿宋_GB2312"/>
          <w:i w:val="0"/>
          <w:iCs w:val="0"/>
          <w:color w:val="auto"/>
          <w:sz w:val="32"/>
          <w:highlight w:val="none"/>
          <w:lang w:val="en-US" w:eastAsia="zh-CN"/>
        </w:rPr>
        <w:t>调度</w:t>
      </w:r>
      <w:r>
        <w:rPr>
          <w:rFonts w:hint="eastAsia" w:eastAsia="仿宋_GB2312"/>
          <w:i w:val="0"/>
          <w:iCs w:val="0"/>
          <w:color w:val="auto"/>
          <w:sz w:val="32"/>
          <w:highlight w:val="none"/>
          <w:lang w:val="en-US" w:eastAsia="zh-CN"/>
        </w:rPr>
        <w:t>制度</w:t>
      </w:r>
      <w:r>
        <w:rPr>
          <w:rFonts w:hint="eastAsia" w:ascii="Times New Roman" w:hAnsi="Times New Roman" w:eastAsia="仿宋_GB2312"/>
          <w:i w:val="0"/>
          <w:iCs w:val="0"/>
          <w:color w:val="auto"/>
          <w:sz w:val="32"/>
          <w:highlight w:val="none"/>
          <w:lang w:val="en-US" w:eastAsia="zh-CN"/>
        </w:rPr>
        <w:t>，</w:t>
      </w:r>
      <w:r>
        <w:rPr>
          <w:rFonts w:hint="eastAsia" w:eastAsia="仿宋_GB2312"/>
          <w:i w:val="0"/>
          <w:iCs w:val="0"/>
          <w:color w:val="auto"/>
          <w:sz w:val="32"/>
          <w:highlight w:val="none"/>
          <w:lang w:val="en-US" w:eastAsia="zh-CN"/>
        </w:rPr>
        <w:t>6月末向</w:t>
      </w:r>
      <w:r>
        <w:rPr>
          <w:rFonts w:hint="default" w:ascii="Times New Roman" w:hAnsi="Times New Roman" w:eastAsia="仿宋_GB2312" w:cs="Times New Roman"/>
          <w:color w:val="auto"/>
          <w:sz w:val="32"/>
          <w:szCs w:val="32"/>
          <w:highlight w:val="none"/>
          <w:lang w:val="en-US" w:eastAsia="zh-CN"/>
        </w:rPr>
        <w:t>36项具体工作任务的责任部门发布了</w:t>
      </w:r>
      <w:r>
        <w:rPr>
          <w:rFonts w:hint="eastAsia" w:eastAsia="仿宋_GB2312" w:cs="Times New Roman"/>
          <w:color w:val="auto"/>
          <w:sz w:val="32"/>
          <w:szCs w:val="32"/>
          <w:highlight w:val="none"/>
          <w:lang w:val="en-US" w:eastAsia="zh-CN"/>
        </w:rPr>
        <w:t>要点落实</w:t>
      </w:r>
      <w:r>
        <w:rPr>
          <w:rFonts w:hint="default" w:ascii="Times New Roman" w:hAnsi="Times New Roman" w:eastAsia="仿宋_GB2312" w:cs="Times New Roman"/>
          <w:color w:val="auto"/>
          <w:sz w:val="32"/>
          <w:szCs w:val="32"/>
          <w:highlight w:val="none"/>
          <w:lang w:val="en-US" w:eastAsia="zh-CN"/>
        </w:rPr>
        <w:t>情况督查督办通知，调度相关工作进展情况，</w:t>
      </w:r>
      <w:r>
        <w:rPr>
          <w:rFonts w:hint="eastAsia" w:eastAsia="仿宋_GB2312" w:cs="Times New Roman"/>
          <w:color w:val="auto"/>
          <w:sz w:val="32"/>
          <w:szCs w:val="32"/>
          <w:highlight w:val="none"/>
          <w:lang w:val="en-US" w:eastAsia="zh-CN"/>
        </w:rPr>
        <w:t>目前已完成6月份重点工作督查落实</w:t>
      </w:r>
      <w:r>
        <w:rPr>
          <w:rFonts w:hint="eastAsia" w:ascii="Times New Roman" w:hAnsi="Times New Roman" w:eastAsia="仿宋_GB2312"/>
          <w:i w:val="0"/>
          <w:iCs w:val="0"/>
          <w:color w:val="auto"/>
          <w:sz w:val="32"/>
          <w:highlight w:val="none"/>
          <w:lang w:val="en-US" w:eastAsia="zh-CN"/>
        </w:rPr>
        <w:t>工作。</w:t>
      </w:r>
    </w:p>
    <w:sectPr>
      <w:headerReference r:id="rId3" w:type="default"/>
      <w:footerReference r:id="rId4" w:type="default"/>
      <w:pgSz w:w="11877" w:h="16781"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36CA">
    <w:pPr>
      <w:pStyle w:val="4"/>
    </w:pPr>
    <w:r>
      <w:rPr>
        <w:rFonts w:ascii="Times New Roman" w:hAnsi="Times New Roman" w:eastAsia="宋体" w:cs="Times New Roman"/>
        <w:color w:val="000000"/>
        <w:kern w:val="28"/>
        <w:sz w:val="18"/>
        <w:szCs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矩形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89A9781">
                          <w:pPr>
                            <w:snapToGrid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2"/>
                              <w:szCs w:val="22"/>
                              <w:lang w:eastAsia="zh-CN"/>
                            </w:rPr>
                            <w:fldChar w:fldCharType="begin"/>
                          </w:r>
                          <w:r>
                            <w:rPr>
                              <w:rFonts w:hint="default" w:ascii="Times New Roman" w:hAnsi="Times New Roman" w:eastAsia="仿宋_GB2312" w:cs="Times New Roman"/>
                              <w:sz w:val="22"/>
                              <w:szCs w:val="22"/>
                              <w:lang w:eastAsia="zh-CN"/>
                            </w:rPr>
                            <w:instrText xml:space="preserve"> PAGE  \* MERGEFORMAT </w:instrText>
                          </w:r>
                          <w:r>
                            <w:rPr>
                              <w:rFonts w:hint="default" w:ascii="Times New Roman" w:hAnsi="Times New Roman" w:eastAsia="仿宋_GB2312" w:cs="Times New Roman"/>
                              <w:sz w:val="22"/>
                              <w:szCs w:val="22"/>
                              <w:lang w:eastAsia="zh-CN"/>
                            </w:rPr>
                            <w:fldChar w:fldCharType="separate"/>
                          </w:r>
                          <w:r>
                            <w:t>1</w:t>
                          </w:r>
                          <w:r>
                            <w:rPr>
                              <w:rFonts w:hint="default" w:ascii="Times New Roman" w:hAnsi="Times New Roman" w:eastAsia="仿宋_GB2312" w:cs="Times New Roman"/>
                              <w:sz w:val="22"/>
                              <w:szCs w:val="22"/>
                              <w:lang w:eastAsia="zh-CN"/>
                            </w:rPr>
                            <w:fldChar w:fldCharType="end"/>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3H+dXBAQAAjgMAAA4AAABkcnMvZTJvRG9jLnhtbK1TzWrbQBC+F/IO&#10;y95jyaY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T3nDlh6cZ/ff3+88c3RgVy&#10;pw9YUdNzeIIpQwqT1KEFm94kgg3Z0fPFUTVEJqm4XK/W65LMlnQ2J4RTvHweAOO98paloOZAV5ad&#10;FKcHjGPr3JKmOX+njaG6qIz7q0CYqVIkxiPHFMVhP0zE9745k9iebrvmjpabM/PRkZlpMeYA5mA/&#10;B8cA+tARtWXmheH2GIlE5pYmjLDTYLqmrG5aqbQHf+a56+U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B3H+dXBAQAAjgMAAA4AAAAAAAAAAQAgAAAAHwEAAGRycy9lMm9Eb2MueG1sUEsF&#10;BgAAAAAGAAYAWQEAAFIFAAAAAA==&#10;">
              <v:fill on="f" focussize="0,0"/>
              <v:stroke on="f"/>
              <v:imagedata o:title=""/>
              <o:lock v:ext="edit" aspectratio="f"/>
              <v:textbox inset="0mm,0mm,0mm,0mm" style="mso-fit-shape-to-text:t;">
                <w:txbxContent>
                  <w:p w14:paraId="289A9781">
                    <w:pPr>
                      <w:snapToGrid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2"/>
                        <w:szCs w:val="22"/>
                        <w:lang w:eastAsia="zh-CN"/>
                      </w:rPr>
                      <w:fldChar w:fldCharType="begin"/>
                    </w:r>
                    <w:r>
                      <w:rPr>
                        <w:rFonts w:hint="default" w:ascii="Times New Roman" w:hAnsi="Times New Roman" w:eastAsia="仿宋_GB2312" w:cs="Times New Roman"/>
                        <w:sz w:val="22"/>
                        <w:szCs w:val="22"/>
                        <w:lang w:eastAsia="zh-CN"/>
                      </w:rPr>
                      <w:instrText xml:space="preserve"> PAGE  \* MERGEFORMAT </w:instrText>
                    </w:r>
                    <w:r>
                      <w:rPr>
                        <w:rFonts w:hint="default" w:ascii="Times New Roman" w:hAnsi="Times New Roman" w:eastAsia="仿宋_GB2312" w:cs="Times New Roman"/>
                        <w:sz w:val="22"/>
                        <w:szCs w:val="22"/>
                        <w:lang w:eastAsia="zh-CN"/>
                      </w:rPr>
                      <w:fldChar w:fldCharType="separate"/>
                    </w:r>
                    <w:r>
                      <w:t>1</w:t>
                    </w:r>
                    <w:r>
                      <w:rPr>
                        <w:rFonts w:hint="default" w:ascii="Times New Roman" w:hAnsi="Times New Roman" w:eastAsia="仿宋_GB2312" w:cs="Times New Roman"/>
                        <w:sz w:val="22"/>
                        <w:szCs w:val="22"/>
                        <w:lang w:eastAsia="zh-CN"/>
                      </w:rPr>
                      <w:fldChar w:fldCharType="end"/>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w:t>
                    </w:r>
                  </w:p>
                </w:txbxContent>
              </v:textbox>
            </v:rect>
          </w:pict>
        </mc:Fallback>
      </mc:AlternateContent>
    </w:r>
    <w:r>
      <w:rPr>
        <w:rFonts w:ascii="Times New Roman" w:hAnsi="Times New Roman" w:eastAsia="宋体" w:cs="Times New Roman"/>
        <w:color w:val="000000"/>
        <w:kern w:val="28"/>
        <w:sz w:val="18"/>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矩形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58DF5ED">
                          <w:pPr>
                            <w:snapToGrid w:val="0"/>
                            <w:rPr>
                              <w:rFonts w:hint="default" w:ascii="Times New Roman" w:hAnsi="Times New Roman" w:eastAsia="宋体" w:cs="Times New Roman"/>
                              <w:sz w:val="21"/>
                              <w:szCs w:val="21"/>
                              <w:lang w:eastAsia="zh-CN"/>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lyN2rBAQAAjg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T3nDlh6cZ/ff3+88c3RgVy&#10;pw9YUdNzeIIpQwqT1KEFm94kgg3Z0fPFUTVEJqm4XK/W65LMlnQ2J4RTvHweAOO98paloOZAV5ad&#10;FKcHjGPr3JKmOX+njaG6qIz7q0CYqVIkxiPHFMVhP0zE9745k9iebrvmjpabM/PRkZlpMeYA5mA/&#10;B8cA+tARtWXmheH2GIlE5pYmjLDTYLqmrG5aqbQHf+a56+U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OlyN2rBAQAAjgMAAA4AAAAAAAAAAQAgAAAAHwEAAGRycy9lMm9Eb2MueG1sUEsF&#10;BgAAAAAGAAYAWQEAAFIFAAAAAA==&#10;">
              <v:fill on="f" focussize="0,0"/>
              <v:stroke on="f"/>
              <v:imagedata o:title=""/>
              <o:lock v:ext="edit" aspectratio="f"/>
              <v:textbox inset="0mm,0mm,0mm,0mm" style="mso-fit-shape-to-text:t;">
                <w:txbxContent>
                  <w:p w14:paraId="658DF5ED">
                    <w:pPr>
                      <w:snapToGrid w:val="0"/>
                      <w:rPr>
                        <w:rFonts w:hint="default" w:ascii="Times New Roman" w:hAnsi="Times New Roman" w:eastAsia="宋体" w:cs="Times New Roman"/>
                        <w:sz w:val="21"/>
                        <w:szCs w:val="21"/>
                        <w:lang w:eastAsia="zh-CN"/>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E5F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MzFiNGRkNmQ5OWMxMzM4YTY5N2FjMDc1MjhiMDcifQ=="/>
  </w:docVars>
  <w:rsids>
    <w:rsidRoot w:val="00000000"/>
    <w:rsid w:val="00414D2B"/>
    <w:rsid w:val="00481283"/>
    <w:rsid w:val="006836D3"/>
    <w:rsid w:val="007A6F63"/>
    <w:rsid w:val="008F577A"/>
    <w:rsid w:val="00B736EC"/>
    <w:rsid w:val="00BA7CA7"/>
    <w:rsid w:val="00C57E3B"/>
    <w:rsid w:val="00E84DEF"/>
    <w:rsid w:val="011E3D92"/>
    <w:rsid w:val="013A3FC1"/>
    <w:rsid w:val="015B3247"/>
    <w:rsid w:val="01671BDD"/>
    <w:rsid w:val="01AD5116"/>
    <w:rsid w:val="01CE36E5"/>
    <w:rsid w:val="01F176F8"/>
    <w:rsid w:val="023C5046"/>
    <w:rsid w:val="02441F1E"/>
    <w:rsid w:val="0246755A"/>
    <w:rsid w:val="02590AD9"/>
    <w:rsid w:val="02B4314D"/>
    <w:rsid w:val="02C56AD9"/>
    <w:rsid w:val="02F54FC6"/>
    <w:rsid w:val="03555A65"/>
    <w:rsid w:val="038A1BB2"/>
    <w:rsid w:val="03AD764F"/>
    <w:rsid w:val="03B95FF4"/>
    <w:rsid w:val="03EA2651"/>
    <w:rsid w:val="03F434D0"/>
    <w:rsid w:val="040B651A"/>
    <w:rsid w:val="04256646"/>
    <w:rsid w:val="042E0225"/>
    <w:rsid w:val="04551D8E"/>
    <w:rsid w:val="0467259A"/>
    <w:rsid w:val="04AC792F"/>
    <w:rsid w:val="04BA64C7"/>
    <w:rsid w:val="04E43544"/>
    <w:rsid w:val="05092FAB"/>
    <w:rsid w:val="05123C0E"/>
    <w:rsid w:val="053A2A34"/>
    <w:rsid w:val="054D733B"/>
    <w:rsid w:val="056D178C"/>
    <w:rsid w:val="05704DD8"/>
    <w:rsid w:val="05860BF8"/>
    <w:rsid w:val="059705B7"/>
    <w:rsid w:val="059B00A7"/>
    <w:rsid w:val="05B13426"/>
    <w:rsid w:val="05BE3D95"/>
    <w:rsid w:val="05C23886"/>
    <w:rsid w:val="05C56ED2"/>
    <w:rsid w:val="05EC26B0"/>
    <w:rsid w:val="06021ED4"/>
    <w:rsid w:val="0609647D"/>
    <w:rsid w:val="066F6E3E"/>
    <w:rsid w:val="06730587"/>
    <w:rsid w:val="069A3EBB"/>
    <w:rsid w:val="069F0652"/>
    <w:rsid w:val="06A20FC1"/>
    <w:rsid w:val="06B37672"/>
    <w:rsid w:val="06BA630B"/>
    <w:rsid w:val="06E8188A"/>
    <w:rsid w:val="072B7208"/>
    <w:rsid w:val="0780247E"/>
    <w:rsid w:val="07B216D8"/>
    <w:rsid w:val="07B611C8"/>
    <w:rsid w:val="07EC2E3C"/>
    <w:rsid w:val="07FB1DD6"/>
    <w:rsid w:val="08071A24"/>
    <w:rsid w:val="082D2605"/>
    <w:rsid w:val="08385335"/>
    <w:rsid w:val="085D5AE7"/>
    <w:rsid w:val="086504F8"/>
    <w:rsid w:val="088564B2"/>
    <w:rsid w:val="089B6610"/>
    <w:rsid w:val="08C568EA"/>
    <w:rsid w:val="08D321F3"/>
    <w:rsid w:val="09AF6DD7"/>
    <w:rsid w:val="09B74D83"/>
    <w:rsid w:val="09D50A53"/>
    <w:rsid w:val="0A075F99"/>
    <w:rsid w:val="0A4C4ADA"/>
    <w:rsid w:val="0A8F5D00"/>
    <w:rsid w:val="0AB614DF"/>
    <w:rsid w:val="0AB807B9"/>
    <w:rsid w:val="0ABD286D"/>
    <w:rsid w:val="0ACC3F78"/>
    <w:rsid w:val="0B0264D2"/>
    <w:rsid w:val="0B44732B"/>
    <w:rsid w:val="0B776EC0"/>
    <w:rsid w:val="0B792C38"/>
    <w:rsid w:val="0B955598"/>
    <w:rsid w:val="0BB940F2"/>
    <w:rsid w:val="0BBD52AE"/>
    <w:rsid w:val="0BCE79D3"/>
    <w:rsid w:val="0BFE313E"/>
    <w:rsid w:val="0C6B2155"/>
    <w:rsid w:val="0C930D9B"/>
    <w:rsid w:val="0CC0309C"/>
    <w:rsid w:val="0CC25F19"/>
    <w:rsid w:val="0CCC4FEA"/>
    <w:rsid w:val="0D4D4741"/>
    <w:rsid w:val="0D9B0B0E"/>
    <w:rsid w:val="0D9C510C"/>
    <w:rsid w:val="0DAE0C1E"/>
    <w:rsid w:val="0DCD2DC7"/>
    <w:rsid w:val="0E0F0484"/>
    <w:rsid w:val="0E0F1632"/>
    <w:rsid w:val="0E191DFB"/>
    <w:rsid w:val="0E455054"/>
    <w:rsid w:val="0E4D5CB6"/>
    <w:rsid w:val="0E56100F"/>
    <w:rsid w:val="0E7A127C"/>
    <w:rsid w:val="0E861DFE"/>
    <w:rsid w:val="0EBB3568"/>
    <w:rsid w:val="0ECF0DC1"/>
    <w:rsid w:val="0F0942D3"/>
    <w:rsid w:val="0F2B249C"/>
    <w:rsid w:val="0F3D7A59"/>
    <w:rsid w:val="0F855859"/>
    <w:rsid w:val="0F8648F6"/>
    <w:rsid w:val="0F9B0CA3"/>
    <w:rsid w:val="0FB46812"/>
    <w:rsid w:val="0FF0791F"/>
    <w:rsid w:val="105C17D3"/>
    <w:rsid w:val="10616C43"/>
    <w:rsid w:val="106D0892"/>
    <w:rsid w:val="10A73DA4"/>
    <w:rsid w:val="10EC5C5A"/>
    <w:rsid w:val="10F7603C"/>
    <w:rsid w:val="113E3FDC"/>
    <w:rsid w:val="11AA7D00"/>
    <w:rsid w:val="11D00824"/>
    <w:rsid w:val="11E608FC"/>
    <w:rsid w:val="11FA7F03"/>
    <w:rsid w:val="122338FE"/>
    <w:rsid w:val="122A4C8C"/>
    <w:rsid w:val="124575E1"/>
    <w:rsid w:val="12900868"/>
    <w:rsid w:val="12BA7692"/>
    <w:rsid w:val="12D45319"/>
    <w:rsid w:val="12E017EF"/>
    <w:rsid w:val="12FB0941"/>
    <w:rsid w:val="13031917"/>
    <w:rsid w:val="133D09EF"/>
    <w:rsid w:val="136046DE"/>
    <w:rsid w:val="13634763"/>
    <w:rsid w:val="13871C6A"/>
    <w:rsid w:val="138C2FA9"/>
    <w:rsid w:val="13B87237"/>
    <w:rsid w:val="13E939FC"/>
    <w:rsid w:val="141C379C"/>
    <w:rsid w:val="145A6C3C"/>
    <w:rsid w:val="147B234C"/>
    <w:rsid w:val="14A82665"/>
    <w:rsid w:val="14DD2331"/>
    <w:rsid w:val="15000D6C"/>
    <w:rsid w:val="150A15D9"/>
    <w:rsid w:val="152A0428"/>
    <w:rsid w:val="158E1C47"/>
    <w:rsid w:val="15A90E19"/>
    <w:rsid w:val="15DD0268"/>
    <w:rsid w:val="164333B5"/>
    <w:rsid w:val="16551BAC"/>
    <w:rsid w:val="16895CFA"/>
    <w:rsid w:val="1694677A"/>
    <w:rsid w:val="16AB1E30"/>
    <w:rsid w:val="16C17241"/>
    <w:rsid w:val="175E0F34"/>
    <w:rsid w:val="176536A7"/>
    <w:rsid w:val="1767428D"/>
    <w:rsid w:val="17935082"/>
    <w:rsid w:val="17984446"/>
    <w:rsid w:val="17C2355C"/>
    <w:rsid w:val="17C90AA4"/>
    <w:rsid w:val="17F3249E"/>
    <w:rsid w:val="184A3267"/>
    <w:rsid w:val="185A6600"/>
    <w:rsid w:val="18754787"/>
    <w:rsid w:val="18910E95"/>
    <w:rsid w:val="18A94431"/>
    <w:rsid w:val="18AB01A9"/>
    <w:rsid w:val="18BA663E"/>
    <w:rsid w:val="18C43019"/>
    <w:rsid w:val="18E65685"/>
    <w:rsid w:val="194F2CB8"/>
    <w:rsid w:val="197E58BE"/>
    <w:rsid w:val="19873340"/>
    <w:rsid w:val="198F0DB0"/>
    <w:rsid w:val="19CF1C75"/>
    <w:rsid w:val="19CF4AA6"/>
    <w:rsid w:val="1A0C2EC9"/>
    <w:rsid w:val="1A7F47B4"/>
    <w:rsid w:val="1AA51486"/>
    <w:rsid w:val="1AAB4490"/>
    <w:rsid w:val="1ABB0ABF"/>
    <w:rsid w:val="1AFC6A9A"/>
    <w:rsid w:val="1AFD6516"/>
    <w:rsid w:val="1B46065D"/>
    <w:rsid w:val="1B925650"/>
    <w:rsid w:val="1BBE036A"/>
    <w:rsid w:val="1BBE4697"/>
    <w:rsid w:val="1BBE7142"/>
    <w:rsid w:val="1BD34FD9"/>
    <w:rsid w:val="1BEA2D97"/>
    <w:rsid w:val="1C0B742A"/>
    <w:rsid w:val="1C3B7A96"/>
    <w:rsid w:val="1C4C3AFB"/>
    <w:rsid w:val="1C7A236C"/>
    <w:rsid w:val="1C981374"/>
    <w:rsid w:val="1CE50760"/>
    <w:rsid w:val="1CFD01C3"/>
    <w:rsid w:val="1D085BCA"/>
    <w:rsid w:val="1D61352C"/>
    <w:rsid w:val="1D644DCB"/>
    <w:rsid w:val="1D666D95"/>
    <w:rsid w:val="1DB60B50"/>
    <w:rsid w:val="1DB7139E"/>
    <w:rsid w:val="1E270B19"/>
    <w:rsid w:val="1E2F7187"/>
    <w:rsid w:val="1E796654"/>
    <w:rsid w:val="1F2E287D"/>
    <w:rsid w:val="1F6C45AE"/>
    <w:rsid w:val="1F751511"/>
    <w:rsid w:val="1F8B663F"/>
    <w:rsid w:val="1F9C6A9E"/>
    <w:rsid w:val="1FA92F69"/>
    <w:rsid w:val="1FA94D17"/>
    <w:rsid w:val="1FAD2A59"/>
    <w:rsid w:val="1FBC0EEE"/>
    <w:rsid w:val="1FBF0FF0"/>
    <w:rsid w:val="1FCA360B"/>
    <w:rsid w:val="202645B9"/>
    <w:rsid w:val="202F337B"/>
    <w:rsid w:val="205355C4"/>
    <w:rsid w:val="205C2751"/>
    <w:rsid w:val="208A2D9A"/>
    <w:rsid w:val="20AA4897"/>
    <w:rsid w:val="20C73087"/>
    <w:rsid w:val="20C95353"/>
    <w:rsid w:val="21015F40"/>
    <w:rsid w:val="21B761EC"/>
    <w:rsid w:val="21BF3B5D"/>
    <w:rsid w:val="21F30E8E"/>
    <w:rsid w:val="22146DBF"/>
    <w:rsid w:val="223204D3"/>
    <w:rsid w:val="224376A4"/>
    <w:rsid w:val="225D289A"/>
    <w:rsid w:val="22AC524A"/>
    <w:rsid w:val="22D12F02"/>
    <w:rsid w:val="23181056"/>
    <w:rsid w:val="23350CBF"/>
    <w:rsid w:val="23377209"/>
    <w:rsid w:val="23751C8D"/>
    <w:rsid w:val="238C5A4D"/>
    <w:rsid w:val="239A1546"/>
    <w:rsid w:val="23B26890"/>
    <w:rsid w:val="243A17FF"/>
    <w:rsid w:val="24480FA2"/>
    <w:rsid w:val="246F263F"/>
    <w:rsid w:val="247022A7"/>
    <w:rsid w:val="24A87C93"/>
    <w:rsid w:val="24D53732"/>
    <w:rsid w:val="24E76A0D"/>
    <w:rsid w:val="25036248"/>
    <w:rsid w:val="25076767"/>
    <w:rsid w:val="253A4D8F"/>
    <w:rsid w:val="2550492B"/>
    <w:rsid w:val="255D3672"/>
    <w:rsid w:val="25665B84"/>
    <w:rsid w:val="25B328ED"/>
    <w:rsid w:val="25B85CB3"/>
    <w:rsid w:val="260D07F6"/>
    <w:rsid w:val="26146435"/>
    <w:rsid w:val="262B46D7"/>
    <w:rsid w:val="262D432B"/>
    <w:rsid w:val="26433E78"/>
    <w:rsid w:val="265754CC"/>
    <w:rsid w:val="26634159"/>
    <w:rsid w:val="267F0C45"/>
    <w:rsid w:val="2698483D"/>
    <w:rsid w:val="26AB5818"/>
    <w:rsid w:val="26C64400"/>
    <w:rsid w:val="26D703BB"/>
    <w:rsid w:val="27311B93"/>
    <w:rsid w:val="273A72C8"/>
    <w:rsid w:val="279544FE"/>
    <w:rsid w:val="27A04C51"/>
    <w:rsid w:val="27DE70AE"/>
    <w:rsid w:val="27E2526A"/>
    <w:rsid w:val="28072688"/>
    <w:rsid w:val="287A36F4"/>
    <w:rsid w:val="28D472A8"/>
    <w:rsid w:val="28D64DCE"/>
    <w:rsid w:val="28D76D98"/>
    <w:rsid w:val="28FE4325"/>
    <w:rsid w:val="290851A4"/>
    <w:rsid w:val="296D233C"/>
    <w:rsid w:val="2987431B"/>
    <w:rsid w:val="29EE6148"/>
    <w:rsid w:val="2A047719"/>
    <w:rsid w:val="2A1F069B"/>
    <w:rsid w:val="2A50295E"/>
    <w:rsid w:val="2A77613D"/>
    <w:rsid w:val="2A9211C9"/>
    <w:rsid w:val="2AA607D0"/>
    <w:rsid w:val="2AAA1F8B"/>
    <w:rsid w:val="2ABE1FBE"/>
    <w:rsid w:val="2AD90BA6"/>
    <w:rsid w:val="2B185854"/>
    <w:rsid w:val="2B4A1AA4"/>
    <w:rsid w:val="2B661149"/>
    <w:rsid w:val="2B6C5576"/>
    <w:rsid w:val="2B8A0DEE"/>
    <w:rsid w:val="2BE45A54"/>
    <w:rsid w:val="2C0E2AD1"/>
    <w:rsid w:val="2C2B3683"/>
    <w:rsid w:val="2C646B95"/>
    <w:rsid w:val="2C7D37B3"/>
    <w:rsid w:val="2CBE4B9B"/>
    <w:rsid w:val="2CC82C80"/>
    <w:rsid w:val="2CD558A9"/>
    <w:rsid w:val="2CF90116"/>
    <w:rsid w:val="2CF9552F"/>
    <w:rsid w:val="2D297497"/>
    <w:rsid w:val="2D32459D"/>
    <w:rsid w:val="2D594220"/>
    <w:rsid w:val="2D7E5A35"/>
    <w:rsid w:val="2D875FEB"/>
    <w:rsid w:val="2D97686A"/>
    <w:rsid w:val="2E9F2106"/>
    <w:rsid w:val="2EA9088F"/>
    <w:rsid w:val="2ECD53B0"/>
    <w:rsid w:val="2EDB16BE"/>
    <w:rsid w:val="2F176141"/>
    <w:rsid w:val="2F230642"/>
    <w:rsid w:val="2F37233F"/>
    <w:rsid w:val="2F4A2072"/>
    <w:rsid w:val="2F520F27"/>
    <w:rsid w:val="2F5C7FF7"/>
    <w:rsid w:val="2F657F49"/>
    <w:rsid w:val="2F794705"/>
    <w:rsid w:val="2F80100D"/>
    <w:rsid w:val="2F857F7F"/>
    <w:rsid w:val="2F866E22"/>
    <w:rsid w:val="2FE35FB3"/>
    <w:rsid w:val="3025488D"/>
    <w:rsid w:val="30432D22"/>
    <w:rsid w:val="30544CD1"/>
    <w:rsid w:val="30616C7B"/>
    <w:rsid w:val="307D0225"/>
    <w:rsid w:val="30801AC4"/>
    <w:rsid w:val="3091782D"/>
    <w:rsid w:val="30A07E54"/>
    <w:rsid w:val="30B359F5"/>
    <w:rsid w:val="31270645"/>
    <w:rsid w:val="31717D8A"/>
    <w:rsid w:val="31BE3045"/>
    <w:rsid w:val="31CB1CA1"/>
    <w:rsid w:val="31CF55C7"/>
    <w:rsid w:val="31D245A1"/>
    <w:rsid w:val="31DA4319"/>
    <w:rsid w:val="32062CBD"/>
    <w:rsid w:val="32235051"/>
    <w:rsid w:val="327E12E9"/>
    <w:rsid w:val="328D4B00"/>
    <w:rsid w:val="32943604"/>
    <w:rsid w:val="32D06D32"/>
    <w:rsid w:val="32E225C2"/>
    <w:rsid w:val="32F43417"/>
    <w:rsid w:val="32F80037"/>
    <w:rsid w:val="336254B1"/>
    <w:rsid w:val="33890C8F"/>
    <w:rsid w:val="33A61841"/>
    <w:rsid w:val="33B421B0"/>
    <w:rsid w:val="33BA709B"/>
    <w:rsid w:val="33D01C52"/>
    <w:rsid w:val="33D15C38"/>
    <w:rsid w:val="33D60378"/>
    <w:rsid w:val="33EA5BD2"/>
    <w:rsid w:val="33EF57A3"/>
    <w:rsid w:val="341E1D1F"/>
    <w:rsid w:val="343D21A6"/>
    <w:rsid w:val="346911EC"/>
    <w:rsid w:val="347436ED"/>
    <w:rsid w:val="347A2C24"/>
    <w:rsid w:val="3491159B"/>
    <w:rsid w:val="34A77B08"/>
    <w:rsid w:val="34DD1522"/>
    <w:rsid w:val="34E30954"/>
    <w:rsid w:val="34E36F2C"/>
    <w:rsid w:val="352073D1"/>
    <w:rsid w:val="35335357"/>
    <w:rsid w:val="354E3F3E"/>
    <w:rsid w:val="35507CB7"/>
    <w:rsid w:val="355C08F1"/>
    <w:rsid w:val="35BF4E3C"/>
    <w:rsid w:val="35C80195"/>
    <w:rsid w:val="35FC1737"/>
    <w:rsid w:val="360016DD"/>
    <w:rsid w:val="364A2BA9"/>
    <w:rsid w:val="366C4FC4"/>
    <w:rsid w:val="36D05553"/>
    <w:rsid w:val="36DD0796"/>
    <w:rsid w:val="36DE4BAE"/>
    <w:rsid w:val="36EB413B"/>
    <w:rsid w:val="36F6663C"/>
    <w:rsid w:val="373C39F1"/>
    <w:rsid w:val="37490E61"/>
    <w:rsid w:val="375D66BB"/>
    <w:rsid w:val="378C2AA9"/>
    <w:rsid w:val="37BA58BB"/>
    <w:rsid w:val="382F44FB"/>
    <w:rsid w:val="38325D99"/>
    <w:rsid w:val="386D4BCC"/>
    <w:rsid w:val="38771CDA"/>
    <w:rsid w:val="38AC78FA"/>
    <w:rsid w:val="38AE3672"/>
    <w:rsid w:val="38D74A15"/>
    <w:rsid w:val="39180AEB"/>
    <w:rsid w:val="3938118D"/>
    <w:rsid w:val="393D4243"/>
    <w:rsid w:val="39461AFC"/>
    <w:rsid w:val="39A1679C"/>
    <w:rsid w:val="39C173D5"/>
    <w:rsid w:val="39E8047E"/>
    <w:rsid w:val="39F257E0"/>
    <w:rsid w:val="39F82591"/>
    <w:rsid w:val="3A0B4AF4"/>
    <w:rsid w:val="3A6569E7"/>
    <w:rsid w:val="3A687850"/>
    <w:rsid w:val="3A695377"/>
    <w:rsid w:val="3A7C32FC"/>
    <w:rsid w:val="3A870D32"/>
    <w:rsid w:val="3A9B7E58"/>
    <w:rsid w:val="3AC1604D"/>
    <w:rsid w:val="3AE74C19"/>
    <w:rsid w:val="3B2961D5"/>
    <w:rsid w:val="3B4E4C98"/>
    <w:rsid w:val="3C2E0626"/>
    <w:rsid w:val="3C936A65"/>
    <w:rsid w:val="3CA52FDE"/>
    <w:rsid w:val="3CC94213"/>
    <w:rsid w:val="3D230FA9"/>
    <w:rsid w:val="3D363C36"/>
    <w:rsid w:val="3D3810A9"/>
    <w:rsid w:val="3D3D6D72"/>
    <w:rsid w:val="3D7C2FCD"/>
    <w:rsid w:val="3DCE20C0"/>
    <w:rsid w:val="3DD07BE6"/>
    <w:rsid w:val="3DE72C23"/>
    <w:rsid w:val="3E067AAC"/>
    <w:rsid w:val="3E23065E"/>
    <w:rsid w:val="3E3363C7"/>
    <w:rsid w:val="3E7C7D6E"/>
    <w:rsid w:val="3E85159F"/>
    <w:rsid w:val="3E9A1FA2"/>
    <w:rsid w:val="3E9E292D"/>
    <w:rsid w:val="3EB017C6"/>
    <w:rsid w:val="3ECF3E9B"/>
    <w:rsid w:val="3F165ACD"/>
    <w:rsid w:val="3F47037C"/>
    <w:rsid w:val="3F6E66F9"/>
    <w:rsid w:val="3F6F2CA4"/>
    <w:rsid w:val="3FAC4683"/>
    <w:rsid w:val="3FFA719D"/>
    <w:rsid w:val="40242B4C"/>
    <w:rsid w:val="402D5F84"/>
    <w:rsid w:val="406377FC"/>
    <w:rsid w:val="407F76A2"/>
    <w:rsid w:val="40BB2DD0"/>
    <w:rsid w:val="40C12815"/>
    <w:rsid w:val="410B53D9"/>
    <w:rsid w:val="41160006"/>
    <w:rsid w:val="412F2E76"/>
    <w:rsid w:val="41A168AA"/>
    <w:rsid w:val="41A5138A"/>
    <w:rsid w:val="41AE5389"/>
    <w:rsid w:val="41EE0475"/>
    <w:rsid w:val="42002A64"/>
    <w:rsid w:val="4214206C"/>
    <w:rsid w:val="421E223B"/>
    <w:rsid w:val="423F725F"/>
    <w:rsid w:val="425E5AC2"/>
    <w:rsid w:val="427B1CE3"/>
    <w:rsid w:val="42C6780A"/>
    <w:rsid w:val="42CB3072"/>
    <w:rsid w:val="42CC0911"/>
    <w:rsid w:val="42D55C9F"/>
    <w:rsid w:val="43014CE6"/>
    <w:rsid w:val="43193B59"/>
    <w:rsid w:val="432D09E0"/>
    <w:rsid w:val="433713FC"/>
    <w:rsid w:val="43416227"/>
    <w:rsid w:val="437468EE"/>
    <w:rsid w:val="43CD4BC8"/>
    <w:rsid w:val="43DD4E0B"/>
    <w:rsid w:val="43F3462F"/>
    <w:rsid w:val="447C02FC"/>
    <w:rsid w:val="44801914"/>
    <w:rsid w:val="449374DF"/>
    <w:rsid w:val="44983428"/>
    <w:rsid w:val="44A1408B"/>
    <w:rsid w:val="44AE0490"/>
    <w:rsid w:val="44CE6E4A"/>
    <w:rsid w:val="44F30C3C"/>
    <w:rsid w:val="450308A1"/>
    <w:rsid w:val="45266E38"/>
    <w:rsid w:val="45303661"/>
    <w:rsid w:val="45596713"/>
    <w:rsid w:val="456B28EB"/>
    <w:rsid w:val="45E96AEC"/>
    <w:rsid w:val="45EA380F"/>
    <w:rsid w:val="46035B78"/>
    <w:rsid w:val="46143D97"/>
    <w:rsid w:val="46223350"/>
    <w:rsid w:val="464253F9"/>
    <w:rsid w:val="46674E60"/>
    <w:rsid w:val="467216A2"/>
    <w:rsid w:val="4697216A"/>
    <w:rsid w:val="4698770F"/>
    <w:rsid w:val="472913F7"/>
    <w:rsid w:val="4729480B"/>
    <w:rsid w:val="4783425B"/>
    <w:rsid w:val="48B1532F"/>
    <w:rsid w:val="48C447EC"/>
    <w:rsid w:val="49103370"/>
    <w:rsid w:val="492359B6"/>
    <w:rsid w:val="492434DC"/>
    <w:rsid w:val="49310F9E"/>
    <w:rsid w:val="49331971"/>
    <w:rsid w:val="493A595F"/>
    <w:rsid w:val="493F3E72"/>
    <w:rsid w:val="494D658F"/>
    <w:rsid w:val="49895E52"/>
    <w:rsid w:val="4A0D22AA"/>
    <w:rsid w:val="4A3A079C"/>
    <w:rsid w:val="4A60723A"/>
    <w:rsid w:val="4A871F75"/>
    <w:rsid w:val="4A963F66"/>
    <w:rsid w:val="4ACB00B3"/>
    <w:rsid w:val="4B2C0426"/>
    <w:rsid w:val="4B314C4B"/>
    <w:rsid w:val="4B3F2946"/>
    <w:rsid w:val="4B494797"/>
    <w:rsid w:val="4B7755EC"/>
    <w:rsid w:val="4B986A12"/>
    <w:rsid w:val="4BA83F51"/>
    <w:rsid w:val="4BAF1783"/>
    <w:rsid w:val="4BD27749"/>
    <w:rsid w:val="4BD33066"/>
    <w:rsid w:val="4BD57D70"/>
    <w:rsid w:val="4BEE392E"/>
    <w:rsid w:val="4C7A4117"/>
    <w:rsid w:val="4CB608EF"/>
    <w:rsid w:val="4CCA7EF7"/>
    <w:rsid w:val="4D1F3E9C"/>
    <w:rsid w:val="4D5A6357"/>
    <w:rsid w:val="4D897DB2"/>
    <w:rsid w:val="4DAE15C6"/>
    <w:rsid w:val="4DF06083"/>
    <w:rsid w:val="4E0F6509"/>
    <w:rsid w:val="4E964534"/>
    <w:rsid w:val="4ED25AA9"/>
    <w:rsid w:val="4EE01C53"/>
    <w:rsid w:val="4EE97D4C"/>
    <w:rsid w:val="4F05790C"/>
    <w:rsid w:val="4F3A2205"/>
    <w:rsid w:val="4F3D2C02"/>
    <w:rsid w:val="4F42646A"/>
    <w:rsid w:val="4F824AB9"/>
    <w:rsid w:val="4F9842DC"/>
    <w:rsid w:val="4FB7572D"/>
    <w:rsid w:val="4FBA06F6"/>
    <w:rsid w:val="4FF37D77"/>
    <w:rsid w:val="500C502F"/>
    <w:rsid w:val="50281B04"/>
    <w:rsid w:val="50345083"/>
    <w:rsid w:val="50506965"/>
    <w:rsid w:val="50650662"/>
    <w:rsid w:val="506568B4"/>
    <w:rsid w:val="50806691"/>
    <w:rsid w:val="50A82C45"/>
    <w:rsid w:val="50EC093D"/>
    <w:rsid w:val="51110A96"/>
    <w:rsid w:val="511E4CB5"/>
    <w:rsid w:val="512E314A"/>
    <w:rsid w:val="51654692"/>
    <w:rsid w:val="517E54A5"/>
    <w:rsid w:val="5184744F"/>
    <w:rsid w:val="51C2055B"/>
    <w:rsid w:val="51DB66D7"/>
    <w:rsid w:val="528E088E"/>
    <w:rsid w:val="52A66D10"/>
    <w:rsid w:val="52BB5860"/>
    <w:rsid w:val="533B4C16"/>
    <w:rsid w:val="536B47B1"/>
    <w:rsid w:val="53A6376C"/>
    <w:rsid w:val="53C4111D"/>
    <w:rsid w:val="54240834"/>
    <w:rsid w:val="543D5452"/>
    <w:rsid w:val="54484523"/>
    <w:rsid w:val="544A44E6"/>
    <w:rsid w:val="545A24A8"/>
    <w:rsid w:val="54FE2E33"/>
    <w:rsid w:val="554D6FF8"/>
    <w:rsid w:val="555111B5"/>
    <w:rsid w:val="555467EE"/>
    <w:rsid w:val="55AF14F9"/>
    <w:rsid w:val="55C71477"/>
    <w:rsid w:val="55EF0E19"/>
    <w:rsid w:val="55FC4133"/>
    <w:rsid w:val="56270168"/>
    <w:rsid w:val="566118CC"/>
    <w:rsid w:val="566F79CB"/>
    <w:rsid w:val="56762305"/>
    <w:rsid w:val="567A72D5"/>
    <w:rsid w:val="56D36553"/>
    <w:rsid w:val="57292C76"/>
    <w:rsid w:val="575E22AF"/>
    <w:rsid w:val="578735B4"/>
    <w:rsid w:val="57AE5329"/>
    <w:rsid w:val="57D8796C"/>
    <w:rsid w:val="57DF5B38"/>
    <w:rsid w:val="57EA769F"/>
    <w:rsid w:val="58043D9C"/>
    <w:rsid w:val="580E0169"/>
    <w:rsid w:val="58156E12"/>
    <w:rsid w:val="581806B0"/>
    <w:rsid w:val="58714DD0"/>
    <w:rsid w:val="58A5065D"/>
    <w:rsid w:val="58D81BED"/>
    <w:rsid w:val="58E92E2F"/>
    <w:rsid w:val="58ED7447"/>
    <w:rsid w:val="5923691A"/>
    <w:rsid w:val="593632C9"/>
    <w:rsid w:val="595C45CC"/>
    <w:rsid w:val="599367F1"/>
    <w:rsid w:val="599D6D92"/>
    <w:rsid w:val="59B822C1"/>
    <w:rsid w:val="59CD1026"/>
    <w:rsid w:val="59E20F76"/>
    <w:rsid w:val="59EE791A"/>
    <w:rsid w:val="59F36CDF"/>
    <w:rsid w:val="5A064C0D"/>
    <w:rsid w:val="5A1804F3"/>
    <w:rsid w:val="5A3A490E"/>
    <w:rsid w:val="5A4532B2"/>
    <w:rsid w:val="5A470DD9"/>
    <w:rsid w:val="5A6F2013"/>
    <w:rsid w:val="5A865DA5"/>
    <w:rsid w:val="5A875679"/>
    <w:rsid w:val="5ABF12B7"/>
    <w:rsid w:val="5AC20562"/>
    <w:rsid w:val="5AD92379"/>
    <w:rsid w:val="5B294982"/>
    <w:rsid w:val="5B2F2837"/>
    <w:rsid w:val="5B604FDC"/>
    <w:rsid w:val="5B6634E0"/>
    <w:rsid w:val="5B7227CA"/>
    <w:rsid w:val="5BB73D3C"/>
    <w:rsid w:val="5BD42B40"/>
    <w:rsid w:val="5BDA2C29"/>
    <w:rsid w:val="5C1949F7"/>
    <w:rsid w:val="5C441A74"/>
    <w:rsid w:val="5C744E01"/>
    <w:rsid w:val="5CEC5C67"/>
    <w:rsid w:val="5D3513BC"/>
    <w:rsid w:val="5D413CF7"/>
    <w:rsid w:val="5D8440F2"/>
    <w:rsid w:val="5DBC632C"/>
    <w:rsid w:val="5DD276C1"/>
    <w:rsid w:val="5DE74031"/>
    <w:rsid w:val="5DEB5F1F"/>
    <w:rsid w:val="5DEC610D"/>
    <w:rsid w:val="5E196F30"/>
    <w:rsid w:val="5E211941"/>
    <w:rsid w:val="5E2F405E"/>
    <w:rsid w:val="5E99597B"/>
    <w:rsid w:val="5E9A1E1F"/>
    <w:rsid w:val="5EBA426F"/>
    <w:rsid w:val="5EDD7F5D"/>
    <w:rsid w:val="5EFF7ED4"/>
    <w:rsid w:val="5F2913F5"/>
    <w:rsid w:val="5F2A5C12"/>
    <w:rsid w:val="5F4D50E3"/>
    <w:rsid w:val="5F5410F1"/>
    <w:rsid w:val="5F5F4E16"/>
    <w:rsid w:val="5F7563E8"/>
    <w:rsid w:val="5F8623A3"/>
    <w:rsid w:val="5F944AC0"/>
    <w:rsid w:val="5F95631A"/>
    <w:rsid w:val="5FA82584"/>
    <w:rsid w:val="5FBA1E19"/>
    <w:rsid w:val="5FED2422"/>
    <w:rsid w:val="5FF025E4"/>
    <w:rsid w:val="602708F0"/>
    <w:rsid w:val="60471B32"/>
    <w:rsid w:val="608508AD"/>
    <w:rsid w:val="60934D78"/>
    <w:rsid w:val="60B116A2"/>
    <w:rsid w:val="60CA4511"/>
    <w:rsid w:val="60DF5175"/>
    <w:rsid w:val="61363955"/>
    <w:rsid w:val="61546919"/>
    <w:rsid w:val="615B597E"/>
    <w:rsid w:val="615E2F29"/>
    <w:rsid w:val="6162299C"/>
    <w:rsid w:val="61734BA9"/>
    <w:rsid w:val="617C580C"/>
    <w:rsid w:val="61851AB4"/>
    <w:rsid w:val="61C96577"/>
    <w:rsid w:val="61CB229C"/>
    <w:rsid w:val="62065A1D"/>
    <w:rsid w:val="623065F6"/>
    <w:rsid w:val="62522A10"/>
    <w:rsid w:val="625422E5"/>
    <w:rsid w:val="62830E1C"/>
    <w:rsid w:val="62C03E1E"/>
    <w:rsid w:val="62EE44E7"/>
    <w:rsid w:val="62FF4946"/>
    <w:rsid w:val="63072F03"/>
    <w:rsid w:val="633E6DDC"/>
    <w:rsid w:val="638210D3"/>
    <w:rsid w:val="63CE4319"/>
    <w:rsid w:val="63EB7DE4"/>
    <w:rsid w:val="64485E79"/>
    <w:rsid w:val="64553B0B"/>
    <w:rsid w:val="64955489"/>
    <w:rsid w:val="64C64FF0"/>
    <w:rsid w:val="64D15E6F"/>
    <w:rsid w:val="64D911C7"/>
    <w:rsid w:val="65385EEE"/>
    <w:rsid w:val="65C07C91"/>
    <w:rsid w:val="65D5651E"/>
    <w:rsid w:val="65DC4B2D"/>
    <w:rsid w:val="65DF1864"/>
    <w:rsid w:val="66034D89"/>
    <w:rsid w:val="660B1854"/>
    <w:rsid w:val="66291CDA"/>
    <w:rsid w:val="66391F1D"/>
    <w:rsid w:val="66552ACF"/>
    <w:rsid w:val="66565B74"/>
    <w:rsid w:val="66650F64"/>
    <w:rsid w:val="667C62AE"/>
    <w:rsid w:val="66952ECC"/>
    <w:rsid w:val="66974E96"/>
    <w:rsid w:val="66AC6B93"/>
    <w:rsid w:val="66FE3167"/>
    <w:rsid w:val="671E7365"/>
    <w:rsid w:val="6727621A"/>
    <w:rsid w:val="67A07D7A"/>
    <w:rsid w:val="67BA52E0"/>
    <w:rsid w:val="67F105D6"/>
    <w:rsid w:val="67FA392E"/>
    <w:rsid w:val="6808604B"/>
    <w:rsid w:val="681A5D7E"/>
    <w:rsid w:val="686E4E9E"/>
    <w:rsid w:val="68C107F1"/>
    <w:rsid w:val="691A14D4"/>
    <w:rsid w:val="695C0B27"/>
    <w:rsid w:val="69A040D3"/>
    <w:rsid w:val="69BE2739"/>
    <w:rsid w:val="69E54A16"/>
    <w:rsid w:val="6A0D4150"/>
    <w:rsid w:val="6A321B28"/>
    <w:rsid w:val="6A607681"/>
    <w:rsid w:val="6AB9187F"/>
    <w:rsid w:val="6AF97ECD"/>
    <w:rsid w:val="6B224DC9"/>
    <w:rsid w:val="6B265F0B"/>
    <w:rsid w:val="6B2B0448"/>
    <w:rsid w:val="6B3E1281"/>
    <w:rsid w:val="6B767770"/>
    <w:rsid w:val="6B9207B1"/>
    <w:rsid w:val="6B9E19D5"/>
    <w:rsid w:val="6BA047ED"/>
    <w:rsid w:val="6C1A634D"/>
    <w:rsid w:val="6C20148A"/>
    <w:rsid w:val="6C58151A"/>
    <w:rsid w:val="6C6509E5"/>
    <w:rsid w:val="6C6677E4"/>
    <w:rsid w:val="6C891725"/>
    <w:rsid w:val="6C9C7E18"/>
    <w:rsid w:val="6CA16E7C"/>
    <w:rsid w:val="6CAE6A95"/>
    <w:rsid w:val="6CBC7404"/>
    <w:rsid w:val="6CC369E5"/>
    <w:rsid w:val="6D454822"/>
    <w:rsid w:val="6D57537F"/>
    <w:rsid w:val="6DA06D26"/>
    <w:rsid w:val="6DC3436B"/>
    <w:rsid w:val="6E027099"/>
    <w:rsid w:val="6E146DCC"/>
    <w:rsid w:val="6E443B55"/>
    <w:rsid w:val="6E443D21"/>
    <w:rsid w:val="6E4B4EE4"/>
    <w:rsid w:val="6E5E3ADA"/>
    <w:rsid w:val="6E637434"/>
    <w:rsid w:val="6E8B1784"/>
    <w:rsid w:val="6E934195"/>
    <w:rsid w:val="6E95615F"/>
    <w:rsid w:val="6EC30F1E"/>
    <w:rsid w:val="6EC802E2"/>
    <w:rsid w:val="6ECF6865"/>
    <w:rsid w:val="6EEE3AC1"/>
    <w:rsid w:val="6EF07839"/>
    <w:rsid w:val="6EF231C9"/>
    <w:rsid w:val="6F0D03EB"/>
    <w:rsid w:val="6F4A519B"/>
    <w:rsid w:val="6F6F40A4"/>
    <w:rsid w:val="6F7B0736"/>
    <w:rsid w:val="6FA32AFD"/>
    <w:rsid w:val="6FD95FB7"/>
    <w:rsid w:val="6FF45107"/>
    <w:rsid w:val="700A66D9"/>
    <w:rsid w:val="700F3CEF"/>
    <w:rsid w:val="704F058F"/>
    <w:rsid w:val="706B7CAE"/>
    <w:rsid w:val="70A408DB"/>
    <w:rsid w:val="70AE18CE"/>
    <w:rsid w:val="70B8153B"/>
    <w:rsid w:val="70CA4005"/>
    <w:rsid w:val="70CA7A0B"/>
    <w:rsid w:val="70EB650A"/>
    <w:rsid w:val="711D243B"/>
    <w:rsid w:val="71631986"/>
    <w:rsid w:val="71867FE1"/>
    <w:rsid w:val="71B12103"/>
    <w:rsid w:val="71C31601"/>
    <w:rsid w:val="71C87E26"/>
    <w:rsid w:val="71DE0782"/>
    <w:rsid w:val="72005FE5"/>
    <w:rsid w:val="72192C03"/>
    <w:rsid w:val="722D2A5F"/>
    <w:rsid w:val="72B50B7E"/>
    <w:rsid w:val="72B564AF"/>
    <w:rsid w:val="72D54D7C"/>
    <w:rsid w:val="72E90827"/>
    <w:rsid w:val="73131D48"/>
    <w:rsid w:val="73410663"/>
    <w:rsid w:val="734D5494"/>
    <w:rsid w:val="73530396"/>
    <w:rsid w:val="73FE6554"/>
    <w:rsid w:val="740759EF"/>
    <w:rsid w:val="74161AF0"/>
    <w:rsid w:val="74424693"/>
    <w:rsid w:val="74DF6386"/>
    <w:rsid w:val="74F87D45"/>
    <w:rsid w:val="75322959"/>
    <w:rsid w:val="757F5473"/>
    <w:rsid w:val="75B36349"/>
    <w:rsid w:val="75D03F20"/>
    <w:rsid w:val="75E63744"/>
    <w:rsid w:val="75EF1846"/>
    <w:rsid w:val="761C6CE6"/>
    <w:rsid w:val="7630676D"/>
    <w:rsid w:val="764C46B6"/>
    <w:rsid w:val="766F5311"/>
    <w:rsid w:val="769B54EE"/>
    <w:rsid w:val="76CC0B8C"/>
    <w:rsid w:val="774C5829"/>
    <w:rsid w:val="77547E9C"/>
    <w:rsid w:val="77711904"/>
    <w:rsid w:val="77901BB9"/>
    <w:rsid w:val="77EB6DF0"/>
    <w:rsid w:val="77EF1307"/>
    <w:rsid w:val="78570929"/>
    <w:rsid w:val="785D5E2D"/>
    <w:rsid w:val="7866176E"/>
    <w:rsid w:val="78782D79"/>
    <w:rsid w:val="789B7419"/>
    <w:rsid w:val="789D54C8"/>
    <w:rsid w:val="78E82ECC"/>
    <w:rsid w:val="79231130"/>
    <w:rsid w:val="794E3D6D"/>
    <w:rsid w:val="796053D6"/>
    <w:rsid w:val="796E1A86"/>
    <w:rsid w:val="79733540"/>
    <w:rsid w:val="79E1494E"/>
    <w:rsid w:val="7A70182E"/>
    <w:rsid w:val="7A794341"/>
    <w:rsid w:val="7AE10C43"/>
    <w:rsid w:val="7B0A1A68"/>
    <w:rsid w:val="7B6020D8"/>
    <w:rsid w:val="7B7427C3"/>
    <w:rsid w:val="7B931C78"/>
    <w:rsid w:val="7BAE6AB2"/>
    <w:rsid w:val="7BB06386"/>
    <w:rsid w:val="7BBA0FB3"/>
    <w:rsid w:val="7BC42AAA"/>
    <w:rsid w:val="7BCB1412"/>
    <w:rsid w:val="7C2A25DC"/>
    <w:rsid w:val="7C484810"/>
    <w:rsid w:val="7C6D475B"/>
    <w:rsid w:val="7C7C44BA"/>
    <w:rsid w:val="7C9D46F4"/>
    <w:rsid w:val="7CAD39C9"/>
    <w:rsid w:val="7CB43C54"/>
    <w:rsid w:val="7CF21D8E"/>
    <w:rsid w:val="7D0F538C"/>
    <w:rsid w:val="7D311748"/>
    <w:rsid w:val="7D36790A"/>
    <w:rsid w:val="7D5F378A"/>
    <w:rsid w:val="7DC867A5"/>
    <w:rsid w:val="7DD65E4C"/>
    <w:rsid w:val="7E1A042F"/>
    <w:rsid w:val="7E3F342D"/>
    <w:rsid w:val="7E484F9C"/>
    <w:rsid w:val="7E5A6A7D"/>
    <w:rsid w:val="7EC363D0"/>
    <w:rsid w:val="7EFC18E2"/>
    <w:rsid w:val="7F2D7CEE"/>
    <w:rsid w:val="7F6C2F0C"/>
    <w:rsid w:val="7F792F33"/>
    <w:rsid w:val="7FDF72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color w:val="000000"/>
      <w:kern w:val="28"/>
      <w:sz w:val="21"/>
      <w:szCs w:val="21"/>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autoRedefine/>
    <w:semiHidden/>
    <w:qFormat/>
    <w:uiPriority w:val="0"/>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ascii="Calibri" w:hAnsi="Calibri"/>
      <w:szCs w:val="2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5764</Words>
  <Characters>5972</Characters>
  <Lines>0</Lines>
  <Paragraphs>0</Paragraphs>
  <TotalTime>3</TotalTime>
  <ScaleCrop>false</ScaleCrop>
  <LinksUpToDate>false</LinksUpToDate>
  <CharactersWithSpaces>5976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2023-10-19T06:50:00Z</dcterms:created>
  <dc:creator>山茜</dc:creator>
  <cp:lastModifiedBy>大宋</cp:lastModifiedBy>
  <dcterms:modified xsi:type="dcterms:W3CDTF">2024-10-21T16:12:54Z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84F0CF73BB30492CBF2D0ED945D793B3_13</vt:lpwstr>
  </property>
</Properties>
</file>